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941564879"/>
        <w:docPartObj>
          <w:docPartGallery w:val="Cover Pages"/>
          <w:docPartUnique/>
        </w:docPartObj>
      </w:sdtPr>
      <w:sdtEndPr>
        <w:rPr>
          <w:rFonts w:eastAsia="Times New Roman" w:cs="Times New Roman"/>
          <w:caps/>
          <w:color w:val="32746D"/>
          <w:sz w:val="36"/>
          <w:szCs w:val="36"/>
          <w:lang w:eastAsia="en-US"/>
        </w:rPr>
      </w:sdtEndPr>
      <w:sdtContent>
        <w:p w14:paraId="57A96F57" w14:textId="29F5C6C1" w:rsidR="003A23DA" w:rsidRPr="00C27172" w:rsidRDefault="004E76AE" w:rsidP="00C27172">
          <w:pPr>
            <w:rPr>
              <w:rFonts w:eastAsia="Times New Roman" w:cs="Times New Roman"/>
              <w:caps/>
              <w:color w:val="32746D"/>
              <w:sz w:val="36"/>
              <w:szCs w:val="36"/>
              <w:lang w:eastAsia="en-US"/>
            </w:rPr>
            <w:sectPr w:rsidR="003A23DA" w:rsidRPr="00C27172" w:rsidSect="00507ADE">
              <w:headerReference w:type="default" r:id="rId9"/>
              <w:pgSz w:w="11906" w:h="16838" w:code="9"/>
              <w:pgMar w:top="1304" w:right="1134" w:bottom="1134" w:left="1134" w:header="397" w:footer="397" w:gutter="0"/>
              <w:pgNumType w:start="0"/>
              <w:cols w:space="708"/>
              <w:titlePg/>
              <w:docGrid w:linePitch="360"/>
            </w:sectPr>
          </w:pPr>
          <w:r w:rsidRPr="0085749F">
            <w:rPr>
              <w:b/>
              <w:noProof/>
              <w:color w:val="A6A6A6" w:themeColor="background1" w:themeShade="A6"/>
              <w:sz w:val="56"/>
              <w:lang w:val="en-US" w:eastAsia="en-US"/>
            </w:rPr>
            <w:drawing>
              <wp:anchor distT="0" distB="0" distL="114300" distR="114300" simplePos="0" relativeHeight="251677696" behindDoc="0" locked="0" layoutInCell="1" allowOverlap="1" wp14:anchorId="680EB02A" wp14:editId="70CDD2DC">
                <wp:simplePos x="0" y="0"/>
                <wp:positionH relativeFrom="column">
                  <wp:posOffset>1673860</wp:posOffset>
                </wp:positionH>
                <wp:positionV relativeFrom="paragraph">
                  <wp:posOffset>-688340</wp:posOffset>
                </wp:positionV>
                <wp:extent cx="2482214" cy="1466850"/>
                <wp:effectExtent l="0" t="0" r="0" b="0"/>
                <wp:wrapNone/>
                <wp:docPr id="1258395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39510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4881" cy="1468426"/>
                        </a:xfrm>
                        <a:prstGeom prst="rect">
                          <a:avLst/>
                        </a:prstGeom>
                      </pic:spPr>
                    </pic:pic>
                  </a:graphicData>
                </a:graphic>
                <wp14:sizeRelH relativeFrom="page">
                  <wp14:pctWidth>0</wp14:pctWidth>
                </wp14:sizeRelH>
                <wp14:sizeRelV relativeFrom="page">
                  <wp14:pctHeight>0</wp14:pctHeight>
                </wp14:sizeRelV>
              </wp:anchor>
            </w:drawing>
          </w:r>
          <w:r w:rsidR="00FC0DFB">
            <w:rPr>
              <w:noProof/>
              <w:lang w:val="en-US" w:eastAsia="en-US"/>
            </w:rPr>
            <mc:AlternateContent>
              <mc:Choice Requires="wpg">
                <w:drawing>
                  <wp:anchor distT="0" distB="0" distL="114300" distR="114300" simplePos="0" relativeHeight="251659264" behindDoc="1" locked="0" layoutInCell="1" allowOverlap="1" wp14:anchorId="44F04D12" wp14:editId="37FB838D">
                    <wp:simplePos x="0" y="0"/>
                    <wp:positionH relativeFrom="margin">
                      <wp:align>right</wp:align>
                    </wp:positionH>
                    <wp:positionV relativeFrom="page">
                      <wp:align>center</wp:align>
                    </wp:positionV>
                    <wp:extent cx="6852920" cy="9142730"/>
                    <wp:effectExtent l="0" t="0" r="0" b="0"/>
                    <wp:wrapThrough wrapText="bothSides">
                      <wp:wrapPolygon edited="0">
                        <wp:start x="1358" y="931"/>
                        <wp:lineTo x="1358" y="16045"/>
                        <wp:lineTo x="9318" y="16596"/>
                        <wp:lineTo x="10799" y="16596"/>
                        <wp:lineTo x="0" y="17019"/>
                        <wp:lineTo x="0" y="21549"/>
                        <wp:lineTo x="21536" y="21549"/>
                        <wp:lineTo x="21536" y="17019"/>
                        <wp:lineTo x="10799" y="16596"/>
                        <wp:lineTo x="12342" y="16596"/>
                        <wp:lineTo x="20179" y="16045"/>
                        <wp:lineTo x="20179" y="931"/>
                        <wp:lineTo x="1358" y="931"/>
                      </wp:wrapPolygon>
                    </wp:wrapThrough>
                    <wp:docPr id="119" name="Group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inorHAnsi" w:hAnsiTheme="minorHAnsi"/>
                                      <w:b/>
                                      <w:color w:val="000000" w:themeColor="text1"/>
                                      <w:sz w:val="32"/>
                                      <w:szCs w:val="32"/>
                                      <w:highlight w:val="yellow"/>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p w14:paraId="69385976" w14:textId="371CB8DF" w:rsidR="001437B8" w:rsidRPr="00AC703E" w:rsidRDefault="001437B8">
                                      <w:pPr>
                                        <w:pStyle w:val="NoSpacing"/>
                                        <w:rPr>
                                          <w:rFonts w:asciiTheme="minorHAnsi" w:hAnsiTheme="minorHAnsi"/>
                                          <w:b/>
                                          <w:color w:val="FFFFFF" w:themeColor="background1"/>
                                          <w:sz w:val="32"/>
                                          <w:szCs w:val="32"/>
                                        </w:rPr>
                                      </w:pPr>
                                      <w:r>
                                        <w:rPr>
                                          <w:rFonts w:asciiTheme="minorHAnsi" w:hAnsiTheme="minorHAnsi"/>
                                          <w:b/>
                                          <w:color w:val="000000" w:themeColor="text1"/>
                                          <w:sz w:val="32"/>
                                          <w:szCs w:val="32"/>
                                          <w:highlight w:val="yellow"/>
                                        </w:rPr>
                                        <w:t>August, 2026</w:t>
                                      </w:r>
                                    </w:p>
                                  </w:sdtContent>
                                </w:sdt>
                                <w:p w14:paraId="31CD0365" w14:textId="635C96AB" w:rsidR="001437B8" w:rsidRDefault="001437B8">
                                  <w:pPr>
                                    <w:pStyle w:val="NoSpacing"/>
                                    <w:rPr>
                                      <w:caps/>
                                      <w:color w:val="FFFFFF" w:themeColor="background1"/>
                                    </w:rPr>
                                  </w:pPr>
                                </w:p>
                                <w:p w14:paraId="5B54B357" w14:textId="77777777" w:rsidR="001437B8" w:rsidRDefault="001437B8"/>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ahoma" w:eastAsiaTheme="majorEastAsia" w:hAnsi="Tahoma" w:cs="Tahoma"/>
                                      <w:color w:val="595959" w:themeColor="text1" w:themeTint="A6"/>
                                      <w:sz w:val="72"/>
                                      <w:szCs w:val="260"/>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21081961" w14:textId="2594EAF5" w:rsidR="001437B8" w:rsidRPr="0066443D" w:rsidRDefault="001437B8" w:rsidP="009955F0">
                                      <w:pPr>
                                        <w:pStyle w:val="NoSpacing"/>
                                        <w:pBdr>
                                          <w:bottom w:val="single" w:sz="6" w:space="4" w:color="7F7F7F" w:themeColor="text1" w:themeTint="80"/>
                                        </w:pBdr>
                                        <w:rPr>
                                          <w:rFonts w:ascii="Tahoma" w:eastAsiaTheme="majorEastAsia" w:hAnsi="Tahoma" w:cs="Tahoma"/>
                                          <w:color w:val="595959" w:themeColor="text1" w:themeTint="A6"/>
                                          <w:sz w:val="72"/>
                                          <w:szCs w:val="260"/>
                                        </w:rPr>
                                      </w:pPr>
                                      <w:r w:rsidRPr="0066443D">
                                        <w:rPr>
                                          <w:rFonts w:ascii="Tahoma" w:eastAsiaTheme="majorEastAsia" w:hAnsi="Tahoma" w:cs="Tahoma"/>
                                          <w:color w:val="595959" w:themeColor="text1" w:themeTint="A6"/>
                                          <w:sz w:val="72"/>
                                          <w:szCs w:val="260"/>
                                        </w:rPr>
                                        <w:t>Benue State Government</w:t>
                                      </w:r>
                                    </w:p>
                                  </w:sdtContent>
                                </w:sdt>
                                <w:sdt>
                                  <w:sdtPr>
                                    <w:rPr>
                                      <w:color w:val="auto"/>
                                      <w:sz w:val="52"/>
                                      <w:szCs w:val="28"/>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4EC24FFD" w14:textId="15E93D11" w:rsidR="001437B8" w:rsidRDefault="001437B8" w:rsidP="00180FF4">
                                      <w:pPr>
                                        <w:pStyle w:val="DocumentTitle"/>
                                        <w:rPr>
                                          <w:color w:val="auto"/>
                                        </w:rPr>
                                      </w:pPr>
                                      <w:r w:rsidRPr="0066443D">
                                        <w:rPr>
                                          <w:color w:val="auto"/>
                                          <w:sz w:val="52"/>
                                          <w:szCs w:val="28"/>
                                        </w:rPr>
                                        <w:t>Economic and Fiscal Update (EFU), Fiscal Strategy Paper (FSP) and Budget Policy Statement (BPS)</w:t>
                                      </w:r>
                                    </w:p>
                                  </w:sdtContent>
                                </w:sdt>
                                <w:p w14:paraId="3C286E06" w14:textId="644A479B" w:rsidR="001437B8" w:rsidRDefault="001437B8" w:rsidP="00180FF4">
                                  <w:pPr>
                                    <w:pStyle w:val="Tabletitle"/>
                                  </w:pPr>
                                </w:p>
                                <w:p w14:paraId="10A9F94D" w14:textId="63CDB957" w:rsidR="001437B8" w:rsidRDefault="001437B8" w:rsidP="00180FF4">
                                  <w:pPr>
                                    <w:rPr>
                                      <w:lang w:val="pl-PL" w:eastAsia="en-US"/>
                                    </w:rPr>
                                  </w:pPr>
                                </w:p>
                                <w:p w14:paraId="664C2B8D" w14:textId="132F9E1C" w:rsidR="001437B8" w:rsidRDefault="001437B8" w:rsidP="00180FF4">
                                  <w:pPr>
                                    <w:rPr>
                                      <w:lang w:val="pl-PL" w:eastAsia="en-US"/>
                                    </w:rPr>
                                  </w:pPr>
                                </w:p>
                                <w:p w14:paraId="6BC61979" w14:textId="40C6839D" w:rsidR="001437B8" w:rsidRPr="000C5312" w:rsidRDefault="001437B8">
                                  <w:pPr>
                                    <w:rPr>
                                      <w:sz w:val="44"/>
                                      <w:szCs w:val="44"/>
                                      <w:lang w:val="pl-PL" w:eastAsia="en-US"/>
                                    </w:rPr>
                                  </w:pPr>
                                  <w:r w:rsidRPr="00180FF4">
                                    <w:rPr>
                                      <w:sz w:val="44"/>
                                      <w:szCs w:val="44"/>
                                      <w:lang w:val="pl-PL" w:eastAsia="en-US"/>
                                    </w:rPr>
                                    <w:t>To Cover Period: 20</w:t>
                                  </w:r>
                                  <w:r>
                                    <w:rPr>
                                      <w:sz w:val="44"/>
                                      <w:szCs w:val="44"/>
                                      <w:lang w:val="pl-PL" w:eastAsia="en-US"/>
                                    </w:rPr>
                                    <w:t>27</w:t>
                                  </w:r>
                                  <w:r w:rsidRPr="00180FF4">
                                    <w:rPr>
                                      <w:sz w:val="44"/>
                                      <w:szCs w:val="44"/>
                                      <w:lang w:val="pl-PL" w:eastAsia="en-US"/>
                                    </w:rPr>
                                    <w:t xml:space="preserve"> – 20</w:t>
                                  </w:r>
                                  <w:r>
                                    <w:rPr>
                                      <w:sz w:val="44"/>
                                      <w:szCs w:val="44"/>
                                      <w:lang w:val="pl-PL" w:eastAsia="en-US"/>
                                    </w:rPr>
                                    <w:t>29</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44F04D12" id="Group 119" o:spid="_x0000_s1026" style="position:absolute;left:0;text-align:left;margin-left:488.4pt;margin-top:0;width:539.6pt;height:719.9pt;z-index:-251657216;mso-width-percent:882;mso-height-percent:909;mso-position-horizontal:right;mso-position-horizontal-relative:margin;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" fillcolor="#272727 [2749]" stroked="f" strokeweight="2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" fillcolor="#a5a5a5 [2092]" stroked="f" strokeweight="2pt">
                      <v:textbox inset="36pt,14.4pt,36pt,36pt">
                        <w:txbxContent>
                          <w:sdt>
                            <w:sdtPr>
                              <w:rPr>
                                <w:rFonts w:asciiTheme="minorHAnsi" w:hAnsiTheme="minorHAnsi"/>
                                <w:b/>
                                <w:color w:val="000000" w:themeColor="text1"/>
                                <w:sz w:val="32"/>
                                <w:szCs w:val="32"/>
                                <w:highlight w:val="yellow"/>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p w14:paraId="69385976" w14:textId="371CB8DF" w:rsidR="001437B8" w:rsidRPr="00AC703E" w:rsidRDefault="001437B8">
                                <w:pPr>
                                  <w:pStyle w:val="NoSpacing"/>
                                  <w:rPr>
                                    <w:rFonts w:asciiTheme="minorHAnsi" w:hAnsiTheme="minorHAnsi"/>
                                    <w:b/>
                                    <w:color w:val="FFFFFF" w:themeColor="background1"/>
                                    <w:sz w:val="32"/>
                                    <w:szCs w:val="32"/>
                                  </w:rPr>
                                </w:pPr>
                                <w:r>
                                  <w:rPr>
                                    <w:rFonts w:asciiTheme="minorHAnsi" w:hAnsiTheme="minorHAnsi"/>
                                    <w:b/>
                                    <w:color w:val="000000" w:themeColor="text1"/>
                                    <w:sz w:val="32"/>
                                    <w:szCs w:val="32"/>
                                    <w:highlight w:val="yellow"/>
                                  </w:rPr>
                                  <w:t>August, 2026</w:t>
                                </w:r>
                              </w:p>
                            </w:sdtContent>
                          </w:sdt>
                          <w:p w14:paraId="31CD0365" w14:textId="635C96AB" w:rsidR="001437B8" w:rsidRDefault="001437B8">
                            <w:pPr>
                              <w:pStyle w:val="NoSpacing"/>
                              <w:rPr>
                                <w:caps/>
                                <w:color w:val="FFFFFF" w:themeColor="background1"/>
                              </w:rPr>
                            </w:pPr>
                          </w:p>
                          <w:p w14:paraId="5B54B357" w14:textId="77777777" w:rsidR="001437B8" w:rsidRDefault="001437B8"/>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ahoma" w:eastAsiaTheme="majorEastAsia" w:hAnsi="Tahoma" w:cs="Tahoma"/>
                                <w:color w:val="595959" w:themeColor="text1" w:themeTint="A6"/>
                                <w:sz w:val="72"/>
                                <w:szCs w:val="260"/>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21081961" w14:textId="2594EAF5" w:rsidR="001437B8" w:rsidRPr="0066443D" w:rsidRDefault="001437B8" w:rsidP="009955F0">
                                <w:pPr>
                                  <w:pStyle w:val="NoSpacing"/>
                                  <w:pBdr>
                                    <w:bottom w:val="single" w:sz="6" w:space="4" w:color="7F7F7F" w:themeColor="text1" w:themeTint="80"/>
                                  </w:pBdr>
                                  <w:rPr>
                                    <w:rFonts w:ascii="Tahoma" w:eastAsiaTheme="majorEastAsia" w:hAnsi="Tahoma" w:cs="Tahoma"/>
                                    <w:color w:val="595959" w:themeColor="text1" w:themeTint="A6"/>
                                    <w:sz w:val="72"/>
                                    <w:szCs w:val="260"/>
                                  </w:rPr>
                                </w:pPr>
                                <w:r w:rsidRPr="0066443D">
                                  <w:rPr>
                                    <w:rFonts w:ascii="Tahoma" w:eastAsiaTheme="majorEastAsia" w:hAnsi="Tahoma" w:cs="Tahoma"/>
                                    <w:color w:val="595959" w:themeColor="text1" w:themeTint="A6"/>
                                    <w:sz w:val="72"/>
                                    <w:szCs w:val="260"/>
                                  </w:rPr>
                                  <w:t>Benue State Government</w:t>
                                </w:r>
                              </w:p>
                            </w:sdtContent>
                          </w:sdt>
                          <w:sdt>
                            <w:sdtPr>
                              <w:rPr>
                                <w:color w:val="auto"/>
                                <w:sz w:val="52"/>
                                <w:szCs w:val="28"/>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4EC24FFD" w14:textId="15E93D11" w:rsidR="001437B8" w:rsidRDefault="001437B8" w:rsidP="00180FF4">
                                <w:pPr>
                                  <w:pStyle w:val="DocumentTitle"/>
                                  <w:rPr>
                                    <w:color w:val="auto"/>
                                  </w:rPr>
                                </w:pPr>
                                <w:r w:rsidRPr="0066443D">
                                  <w:rPr>
                                    <w:color w:val="auto"/>
                                    <w:sz w:val="52"/>
                                    <w:szCs w:val="28"/>
                                  </w:rPr>
                                  <w:t>Economic and Fiscal Update (EFU), Fiscal Strategy Paper (FSP) and Budget Policy Statement (BPS)</w:t>
                                </w:r>
                              </w:p>
                            </w:sdtContent>
                          </w:sdt>
                          <w:p w14:paraId="3C286E06" w14:textId="644A479B" w:rsidR="001437B8" w:rsidRDefault="001437B8" w:rsidP="00180FF4">
                            <w:pPr>
                              <w:pStyle w:val="Tabletitle"/>
                            </w:pPr>
                          </w:p>
                          <w:p w14:paraId="10A9F94D" w14:textId="63CDB957" w:rsidR="001437B8" w:rsidRDefault="001437B8" w:rsidP="00180FF4">
                            <w:pPr>
                              <w:rPr>
                                <w:lang w:val="pl-PL" w:eastAsia="en-US"/>
                              </w:rPr>
                            </w:pPr>
                          </w:p>
                          <w:p w14:paraId="664C2B8D" w14:textId="132F9E1C" w:rsidR="001437B8" w:rsidRDefault="001437B8" w:rsidP="00180FF4">
                            <w:pPr>
                              <w:rPr>
                                <w:lang w:val="pl-PL" w:eastAsia="en-US"/>
                              </w:rPr>
                            </w:pPr>
                          </w:p>
                          <w:p w14:paraId="6BC61979" w14:textId="40C6839D" w:rsidR="001437B8" w:rsidRPr="000C5312" w:rsidRDefault="001437B8">
                            <w:pPr>
                              <w:rPr>
                                <w:sz w:val="44"/>
                                <w:szCs w:val="44"/>
                                <w:lang w:val="pl-PL" w:eastAsia="en-US"/>
                              </w:rPr>
                            </w:pPr>
                            <w:r w:rsidRPr="00180FF4">
                              <w:rPr>
                                <w:sz w:val="44"/>
                                <w:szCs w:val="44"/>
                                <w:lang w:val="pl-PL" w:eastAsia="en-US"/>
                              </w:rPr>
                              <w:t>To Cover Period: 20</w:t>
                            </w:r>
                            <w:r>
                              <w:rPr>
                                <w:sz w:val="44"/>
                                <w:szCs w:val="44"/>
                                <w:lang w:val="pl-PL" w:eastAsia="en-US"/>
                              </w:rPr>
                              <w:t>27</w:t>
                            </w:r>
                            <w:r w:rsidRPr="00180FF4">
                              <w:rPr>
                                <w:sz w:val="44"/>
                                <w:szCs w:val="44"/>
                                <w:lang w:val="pl-PL" w:eastAsia="en-US"/>
                              </w:rPr>
                              <w:t xml:space="preserve"> – 20</w:t>
                            </w:r>
                            <w:r>
                              <w:rPr>
                                <w:sz w:val="44"/>
                                <w:szCs w:val="44"/>
                                <w:lang w:val="pl-PL" w:eastAsia="en-US"/>
                              </w:rPr>
                              <w:t>29</w:t>
                            </w:r>
                          </w:p>
                        </w:txbxContent>
                      </v:textbox>
                    </v:shape>
                    <w10:wrap type="through" anchorx="margin" anchory="page"/>
                  </v:group>
                </w:pict>
              </mc:Fallback>
            </mc:AlternateContent>
          </w:r>
        </w:p>
      </w:sdtContent>
    </w:sdt>
    <w:p w14:paraId="46589D0C" w14:textId="508D9E30" w:rsidR="00180FF4" w:rsidRDefault="00180FF4" w:rsidP="00C27172">
      <w:pPr>
        <w:spacing w:before="0" w:after="200" w:line="276" w:lineRule="auto"/>
        <w:rPr>
          <w:b/>
        </w:rPr>
      </w:pPr>
    </w:p>
    <w:tbl>
      <w:tblPr>
        <w:tblW w:w="4950" w:type="pct"/>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1E0" w:firstRow="1" w:lastRow="1" w:firstColumn="1" w:lastColumn="1" w:noHBand="0" w:noVBand="0"/>
      </w:tblPr>
      <w:tblGrid>
        <w:gridCol w:w="3428"/>
        <w:gridCol w:w="6094"/>
      </w:tblGrid>
      <w:tr w:rsidR="00811E5F" w:rsidRPr="00B848D1" w14:paraId="0E06237A" w14:textId="77777777" w:rsidTr="00811E5F">
        <w:trPr>
          <w:cantSplit/>
          <w:tblHeader/>
        </w:trPr>
        <w:tc>
          <w:tcPr>
            <w:tcW w:w="5000" w:type="pct"/>
            <w:gridSpan w:val="2"/>
            <w:shd w:val="clear" w:color="auto" w:fill="404040" w:themeFill="text1" w:themeFillTint="BF"/>
            <w:vAlign w:val="center"/>
          </w:tcPr>
          <w:p w14:paraId="0460BB82" w14:textId="0CC737DB" w:rsidR="00811E5F" w:rsidRPr="002D74EC" w:rsidRDefault="00811E5F" w:rsidP="00811E5F">
            <w:pPr>
              <w:pStyle w:val="Table"/>
              <w:jc w:val="center"/>
              <w:rPr>
                <w:b/>
                <w:bCs/>
                <w:color w:val="FFFFFF" w:themeColor="background1"/>
              </w:rPr>
            </w:pPr>
            <w:r w:rsidRPr="002D74EC">
              <w:rPr>
                <w:b/>
                <w:bCs/>
                <w:color w:val="FFFFFF" w:themeColor="background1"/>
              </w:rPr>
              <w:t>Document Control</w:t>
            </w:r>
          </w:p>
        </w:tc>
      </w:tr>
      <w:tr w:rsidR="00811E5F" w:rsidRPr="00D91798" w14:paraId="4ABEF1F4" w14:textId="77777777" w:rsidTr="00811E5F">
        <w:trPr>
          <w:cantSplit/>
        </w:trPr>
        <w:tc>
          <w:tcPr>
            <w:tcW w:w="1800" w:type="pct"/>
          </w:tcPr>
          <w:p w14:paraId="4CD08FBA" w14:textId="1955AC3A" w:rsidR="00811E5F" w:rsidRPr="00D91798" w:rsidRDefault="00811E5F" w:rsidP="00C61F6D">
            <w:pPr>
              <w:pStyle w:val="Table"/>
            </w:pPr>
            <w:r w:rsidRPr="00811E5F">
              <w:t>Document Version Number:</w:t>
            </w:r>
          </w:p>
        </w:tc>
        <w:tc>
          <w:tcPr>
            <w:tcW w:w="3200" w:type="pct"/>
          </w:tcPr>
          <w:p w14:paraId="25550C20" w14:textId="3ECA688D" w:rsidR="00811E5F" w:rsidRPr="00D91798" w:rsidRDefault="009A5BBD" w:rsidP="00C61F6D">
            <w:pPr>
              <w:pStyle w:val="Table"/>
            </w:pPr>
            <w:r>
              <w:t>4</w:t>
            </w:r>
          </w:p>
        </w:tc>
      </w:tr>
      <w:tr w:rsidR="00811E5F" w:rsidRPr="009655E0" w14:paraId="3AB67CE5" w14:textId="77777777" w:rsidTr="00811E5F">
        <w:trPr>
          <w:cantSplit/>
        </w:trPr>
        <w:tc>
          <w:tcPr>
            <w:tcW w:w="1800" w:type="pct"/>
          </w:tcPr>
          <w:p w14:paraId="1A54FEAD" w14:textId="34EA3EB7" w:rsidR="00811E5F" w:rsidRPr="009655E0" w:rsidRDefault="00811E5F" w:rsidP="00C61F6D">
            <w:pPr>
              <w:pStyle w:val="Table"/>
            </w:pPr>
            <w:r w:rsidRPr="00811E5F">
              <w:t>Document Prepared By:</w:t>
            </w:r>
          </w:p>
        </w:tc>
        <w:tc>
          <w:tcPr>
            <w:tcW w:w="3200" w:type="pct"/>
          </w:tcPr>
          <w:p w14:paraId="00759A8B" w14:textId="3F4D4AC4" w:rsidR="00811E5F" w:rsidRPr="009655E0" w:rsidRDefault="009C40C5" w:rsidP="00C61F6D">
            <w:pPr>
              <w:pStyle w:val="Table"/>
            </w:pPr>
            <w:r>
              <w:t>Benue State Budget and Economic Planning Commission</w:t>
            </w:r>
          </w:p>
        </w:tc>
      </w:tr>
      <w:tr w:rsidR="00811E5F" w:rsidRPr="009655E0" w14:paraId="2B663F32" w14:textId="77777777" w:rsidTr="00811E5F">
        <w:trPr>
          <w:cantSplit/>
        </w:trPr>
        <w:tc>
          <w:tcPr>
            <w:tcW w:w="1800" w:type="pct"/>
          </w:tcPr>
          <w:p w14:paraId="05E23217" w14:textId="0E858320" w:rsidR="00811E5F" w:rsidRPr="009655E0" w:rsidRDefault="00811E5F" w:rsidP="00C61F6D">
            <w:pPr>
              <w:pStyle w:val="Table"/>
            </w:pPr>
            <w:r w:rsidRPr="00811E5F">
              <w:t>Document Approved By:</w:t>
            </w:r>
          </w:p>
        </w:tc>
        <w:tc>
          <w:tcPr>
            <w:tcW w:w="3200" w:type="pct"/>
          </w:tcPr>
          <w:p w14:paraId="5A4BDCE6" w14:textId="2D0BCBFD" w:rsidR="00811E5F" w:rsidRPr="009655E0" w:rsidRDefault="009C40C5" w:rsidP="00C61F6D">
            <w:pPr>
              <w:pStyle w:val="Table"/>
            </w:pPr>
            <w:r>
              <w:t>Benue State Executive Council (EXCO)</w:t>
            </w:r>
          </w:p>
        </w:tc>
      </w:tr>
      <w:tr w:rsidR="00811E5F" w:rsidRPr="009655E0" w14:paraId="02F65022" w14:textId="77777777" w:rsidTr="00811E5F">
        <w:trPr>
          <w:cantSplit/>
        </w:trPr>
        <w:tc>
          <w:tcPr>
            <w:tcW w:w="1800" w:type="pct"/>
          </w:tcPr>
          <w:p w14:paraId="238DA150" w14:textId="2DD4BDF7" w:rsidR="00811E5F" w:rsidRPr="009655E0" w:rsidRDefault="00811E5F" w:rsidP="00C61F6D">
            <w:pPr>
              <w:pStyle w:val="Table"/>
            </w:pPr>
            <w:r w:rsidRPr="00811E5F">
              <w:t>Date of Approval:</w:t>
            </w:r>
          </w:p>
        </w:tc>
        <w:tc>
          <w:tcPr>
            <w:tcW w:w="3200" w:type="pct"/>
          </w:tcPr>
          <w:p w14:paraId="1B5ABC4B" w14:textId="77777777" w:rsidR="00811E5F" w:rsidRPr="009655E0" w:rsidRDefault="00811E5F" w:rsidP="00C61F6D">
            <w:pPr>
              <w:pStyle w:val="Table"/>
            </w:pPr>
          </w:p>
        </w:tc>
      </w:tr>
      <w:tr w:rsidR="00811E5F" w:rsidRPr="009655E0" w14:paraId="58AC1FA4" w14:textId="77777777" w:rsidTr="00811E5F">
        <w:trPr>
          <w:cantSplit/>
        </w:trPr>
        <w:tc>
          <w:tcPr>
            <w:tcW w:w="1800" w:type="pct"/>
          </w:tcPr>
          <w:p w14:paraId="0D8EE889" w14:textId="11958986" w:rsidR="00811E5F" w:rsidRPr="009655E0" w:rsidRDefault="00811E5F" w:rsidP="00C61F6D">
            <w:pPr>
              <w:pStyle w:val="Table"/>
            </w:pPr>
            <w:r w:rsidRPr="00811E5F">
              <w:t>Date of Publication:</w:t>
            </w:r>
          </w:p>
        </w:tc>
        <w:tc>
          <w:tcPr>
            <w:tcW w:w="3200" w:type="pct"/>
          </w:tcPr>
          <w:p w14:paraId="773C2032" w14:textId="1F2741AA" w:rsidR="00811E5F" w:rsidRPr="009655E0" w:rsidRDefault="009A5BBD" w:rsidP="00C61F6D">
            <w:pPr>
              <w:pStyle w:val="Table"/>
            </w:pPr>
            <w:r>
              <w:t>August, 2026</w:t>
            </w:r>
          </w:p>
        </w:tc>
      </w:tr>
      <w:tr w:rsidR="00811E5F" w:rsidRPr="009655E0" w14:paraId="58DAC3D3" w14:textId="77777777" w:rsidTr="00811E5F">
        <w:trPr>
          <w:cantSplit/>
        </w:trPr>
        <w:tc>
          <w:tcPr>
            <w:tcW w:w="1800" w:type="pct"/>
          </w:tcPr>
          <w:p w14:paraId="00B23CD9" w14:textId="7B2BE5AB" w:rsidR="00811E5F" w:rsidRPr="009655E0" w:rsidRDefault="00811E5F" w:rsidP="00C61F6D">
            <w:pPr>
              <w:pStyle w:val="Table"/>
            </w:pPr>
            <w:r w:rsidRPr="00811E5F">
              <w:t>Distribution List:</w:t>
            </w:r>
          </w:p>
        </w:tc>
        <w:tc>
          <w:tcPr>
            <w:tcW w:w="3200" w:type="pct"/>
          </w:tcPr>
          <w:p w14:paraId="5F624AC1" w14:textId="77777777" w:rsidR="00811E5F" w:rsidRPr="009655E0" w:rsidRDefault="00811E5F" w:rsidP="00C61F6D">
            <w:pPr>
              <w:pStyle w:val="Table"/>
            </w:pPr>
          </w:p>
        </w:tc>
      </w:tr>
    </w:tbl>
    <w:p w14:paraId="63FA868E" w14:textId="77777777" w:rsidR="00180FF4" w:rsidRDefault="00180FF4" w:rsidP="00180FF4">
      <w:pPr>
        <w:spacing w:before="0" w:after="200" w:line="276" w:lineRule="auto"/>
        <w:jc w:val="center"/>
        <w:rPr>
          <w:b/>
        </w:rPr>
      </w:pPr>
    </w:p>
    <w:p w14:paraId="7768F170" w14:textId="77777777" w:rsidR="00180FF4" w:rsidRDefault="00180FF4">
      <w:pPr>
        <w:spacing w:before="0" w:after="200" w:line="276" w:lineRule="auto"/>
        <w:jc w:val="left"/>
        <w:rPr>
          <w:b/>
        </w:rPr>
      </w:pPr>
    </w:p>
    <w:p w14:paraId="7A8F732C" w14:textId="77777777" w:rsidR="00464261" w:rsidRDefault="00464261" w:rsidP="008A5042">
      <w:pPr>
        <w:jc w:val="left"/>
        <w:rPr>
          <w:b/>
        </w:rPr>
      </w:pPr>
    </w:p>
    <w:p w14:paraId="69CC6B8A" w14:textId="77777777" w:rsidR="00180FF4" w:rsidRDefault="00180FF4">
      <w:pPr>
        <w:spacing w:before="0" w:after="200" w:line="276" w:lineRule="auto"/>
        <w:jc w:val="left"/>
        <w:rPr>
          <w:b/>
          <w:color w:val="404040" w:themeColor="text1" w:themeTint="BF"/>
          <w:sz w:val="32"/>
          <w:szCs w:val="32"/>
        </w:rPr>
      </w:pPr>
      <w:r>
        <w:br w:type="page"/>
      </w:r>
    </w:p>
    <w:p w14:paraId="06D55F7E" w14:textId="10034DCD" w:rsidR="006732AB" w:rsidRPr="00791317" w:rsidRDefault="00BD26D9" w:rsidP="00476578">
      <w:pPr>
        <w:pStyle w:val="SectionHeading"/>
      </w:pPr>
      <w:r w:rsidRPr="00530AD4">
        <w:lastRenderedPageBreak/>
        <w:t>Table</w:t>
      </w:r>
      <w:r w:rsidR="00A165BC" w:rsidRPr="00791317">
        <w:t xml:space="preserve"> </w:t>
      </w:r>
      <w:r w:rsidRPr="00791317">
        <w:t>of</w:t>
      </w:r>
      <w:r w:rsidR="00A165BC" w:rsidRPr="00791317">
        <w:t xml:space="preserve"> </w:t>
      </w:r>
      <w:r w:rsidRPr="00791317">
        <w:t>Contents</w:t>
      </w:r>
    </w:p>
    <w:sdt>
      <w:sdtPr>
        <w:rPr>
          <w:caps/>
        </w:rPr>
        <w:id w:val="19635637"/>
        <w:docPartObj>
          <w:docPartGallery w:val="Table of Contents"/>
          <w:docPartUnique/>
        </w:docPartObj>
      </w:sdtPr>
      <w:sdtEndPr>
        <w:rPr>
          <w:caps w:val="0"/>
        </w:rPr>
      </w:sdtEndPr>
      <w:sdtContent>
        <w:p w14:paraId="26F00E77" w14:textId="6AC51490" w:rsidR="009D1097" w:rsidRDefault="002E3BCB">
          <w:pPr>
            <w:pStyle w:val="TOC1"/>
            <w:rPr>
              <w:kern w:val="2"/>
              <w:sz w:val="24"/>
              <w:szCs w:val="24"/>
              <w14:ligatures w14:val="standardContextual"/>
            </w:rPr>
          </w:pPr>
          <w:r w:rsidRPr="009655E0">
            <w:rPr>
              <w:rFonts w:eastAsia="Times New Roman" w:cs="Times New Roman"/>
              <w:noProof w:val="0"/>
              <w:szCs w:val="24"/>
            </w:rPr>
            <w:fldChar w:fldCharType="begin"/>
          </w:r>
          <w:r w:rsidR="00C42A23" w:rsidRPr="009655E0">
            <w:instrText xml:space="preserve"> TOC \o "1-3" \h \z \u </w:instrText>
          </w:r>
          <w:r w:rsidRPr="009655E0">
            <w:rPr>
              <w:rFonts w:eastAsia="Times New Roman" w:cs="Times New Roman"/>
              <w:noProof w:val="0"/>
              <w:szCs w:val="24"/>
            </w:rPr>
            <w:fldChar w:fldCharType="separate"/>
          </w:r>
          <w:hyperlink w:anchor="_Toc208941429" w:history="1">
            <w:r w:rsidR="009D1097" w:rsidRPr="00B83733">
              <w:rPr>
                <w:rStyle w:val="Hyperlink"/>
              </w:rPr>
              <w:t>1</w:t>
            </w:r>
            <w:r w:rsidR="009D1097">
              <w:rPr>
                <w:kern w:val="2"/>
                <w:sz w:val="24"/>
                <w:szCs w:val="24"/>
                <w14:ligatures w14:val="standardContextual"/>
              </w:rPr>
              <w:tab/>
            </w:r>
            <w:r w:rsidR="009D1097" w:rsidRPr="00B83733">
              <w:rPr>
                <w:rStyle w:val="Hyperlink"/>
              </w:rPr>
              <w:t>Introduction and Background</w:t>
            </w:r>
            <w:r w:rsidR="009D1097">
              <w:rPr>
                <w:webHidden/>
              </w:rPr>
              <w:tab/>
            </w:r>
            <w:r w:rsidR="009D1097">
              <w:rPr>
                <w:webHidden/>
              </w:rPr>
              <w:fldChar w:fldCharType="begin"/>
            </w:r>
            <w:r w:rsidR="009D1097">
              <w:rPr>
                <w:webHidden/>
              </w:rPr>
              <w:instrText xml:space="preserve"> PAGEREF _Toc208941429 \h </w:instrText>
            </w:r>
            <w:r w:rsidR="009D1097">
              <w:rPr>
                <w:webHidden/>
              </w:rPr>
            </w:r>
            <w:r w:rsidR="009D1097">
              <w:rPr>
                <w:webHidden/>
              </w:rPr>
              <w:fldChar w:fldCharType="separate"/>
            </w:r>
            <w:r w:rsidR="00F60625">
              <w:rPr>
                <w:webHidden/>
              </w:rPr>
              <w:t>10</w:t>
            </w:r>
            <w:r w:rsidR="009D1097">
              <w:rPr>
                <w:webHidden/>
              </w:rPr>
              <w:fldChar w:fldCharType="end"/>
            </w:r>
          </w:hyperlink>
        </w:p>
        <w:p w14:paraId="6267B662" w14:textId="2B7B7B32" w:rsidR="009D1097" w:rsidRDefault="001437B8">
          <w:pPr>
            <w:pStyle w:val="TOC2"/>
            <w:rPr>
              <w:rFonts w:eastAsiaTheme="minorEastAsia" w:cstheme="minorBidi"/>
              <w:kern w:val="2"/>
              <w:sz w:val="24"/>
              <w:szCs w:val="24"/>
              <w:lang w:eastAsia="en-GB"/>
              <w14:ligatures w14:val="standardContextual"/>
            </w:rPr>
          </w:pPr>
          <w:hyperlink w:anchor="_Toc208941430" w:history="1">
            <w:r w:rsidR="009D1097" w:rsidRPr="00B83733">
              <w:rPr>
                <w:rStyle w:val="Hyperlink"/>
              </w:rPr>
              <w:t>1.A</w:t>
            </w:r>
            <w:r w:rsidR="009D1097">
              <w:rPr>
                <w:rFonts w:eastAsiaTheme="minorEastAsia" w:cstheme="minorBidi"/>
                <w:kern w:val="2"/>
                <w:sz w:val="24"/>
                <w:szCs w:val="24"/>
                <w:lang w:eastAsia="en-GB"/>
                <w14:ligatures w14:val="standardContextual"/>
              </w:rPr>
              <w:tab/>
            </w:r>
            <w:r w:rsidR="009D1097" w:rsidRPr="00B83733">
              <w:rPr>
                <w:rStyle w:val="Hyperlink"/>
              </w:rPr>
              <w:t>Introduction</w:t>
            </w:r>
            <w:r w:rsidR="009D1097">
              <w:rPr>
                <w:webHidden/>
              </w:rPr>
              <w:tab/>
            </w:r>
            <w:r w:rsidR="009D1097">
              <w:rPr>
                <w:webHidden/>
              </w:rPr>
              <w:fldChar w:fldCharType="begin"/>
            </w:r>
            <w:r w:rsidR="009D1097">
              <w:rPr>
                <w:webHidden/>
              </w:rPr>
              <w:instrText xml:space="preserve"> PAGEREF _Toc208941430 \h </w:instrText>
            </w:r>
            <w:r w:rsidR="009D1097">
              <w:rPr>
                <w:webHidden/>
              </w:rPr>
            </w:r>
            <w:r w:rsidR="009D1097">
              <w:rPr>
                <w:webHidden/>
              </w:rPr>
              <w:fldChar w:fldCharType="separate"/>
            </w:r>
            <w:r w:rsidR="00F60625">
              <w:rPr>
                <w:webHidden/>
              </w:rPr>
              <w:t>10</w:t>
            </w:r>
            <w:r w:rsidR="009D1097">
              <w:rPr>
                <w:webHidden/>
              </w:rPr>
              <w:fldChar w:fldCharType="end"/>
            </w:r>
          </w:hyperlink>
        </w:p>
        <w:p w14:paraId="3FCCAE8F" w14:textId="06DC5EB7" w:rsidR="009D1097" w:rsidRDefault="001437B8">
          <w:pPr>
            <w:pStyle w:val="TOC3"/>
            <w:rPr>
              <w:kern w:val="2"/>
              <w:sz w:val="24"/>
              <w14:ligatures w14:val="standardContextual"/>
            </w:rPr>
          </w:pPr>
          <w:hyperlink w:anchor="_Toc208941431" w:history="1">
            <w:r w:rsidR="009D1097" w:rsidRPr="00B83733">
              <w:rPr>
                <w:rStyle w:val="Hyperlink"/>
              </w:rPr>
              <w:t>1.A.1</w:t>
            </w:r>
            <w:r w:rsidR="009D1097">
              <w:rPr>
                <w:kern w:val="2"/>
                <w:sz w:val="24"/>
                <w14:ligatures w14:val="standardContextual"/>
              </w:rPr>
              <w:tab/>
            </w:r>
            <w:r w:rsidR="009D1097" w:rsidRPr="00B83733">
              <w:rPr>
                <w:rStyle w:val="Hyperlink"/>
              </w:rPr>
              <w:t>Budget Process</w:t>
            </w:r>
            <w:r w:rsidR="009D1097">
              <w:rPr>
                <w:webHidden/>
              </w:rPr>
              <w:tab/>
            </w:r>
            <w:r w:rsidR="009D1097">
              <w:rPr>
                <w:webHidden/>
              </w:rPr>
              <w:fldChar w:fldCharType="begin"/>
            </w:r>
            <w:r w:rsidR="009D1097">
              <w:rPr>
                <w:webHidden/>
              </w:rPr>
              <w:instrText xml:space="preserve"> PAGEREF _Toc208941431 \h </w:instrText>
            </w:r>
            <w:r w:rsidR="009D1097">
              <w:rPr>
                <w:webHidden/>
              </w:rPr>
            </w:r>
            <w:r w:rsidR="009D1097">
              <w:rPr>
                <w:webHidden/>
              </w:rPr>
              <w:fldChar w:fldCharType="separate"/>
            </w:r>
            <w:r w:rsidR="00F60625">
              <w:rPr>
                <w:webHidden/>
              </w:rPr>
              <w:t>10</w:t>
            </w:r>
            <w:r w:rsidR="009D1097">
              <w:rPr>
                <w:webHidden/>
              </w:rPr>
              <w:fldChar w:fldCharType="end"/>
            </w:r>
          </w:hyperlink>
        </w:p>
        <w:p w14:paraId="2A517F70" w14:textId="23A81B3B" w:rsidR="009D1097" w:rsidRDefault="001437B8">
          <w:pPr>
            <w:pStyle w:val="TOC3"/>
            <w:rPr>
              <w:kern w:val="2"/>
              <w:sz w:val="24"/>
              <w14:ligatures w14:val="standardContextual"/>
            </w:rPr>
          </w:pPr>
          <w:hyperlink w:anchor="_Toc208941432" w:history="1">
            <w:r w:rsidR="009D1097" w:rsidRPr="00B83733">
              <w:rPr>
                <w:rStyle w:val="Hyperlink"/>
              </w:rPr>
              <w:t>1.A.2</w:t>
            </w:r>
            <w:r w:rsidR="009D1097">
              <w:rPr>
                <w:kern w:val="2"/>
                <w:sz w:val="24"/>
                <w14:ligatures w14:val="standardContextual"/>
              </w:rPr>
              <w:tab/>
            </w:r>
            <w:r w:rsidR="009D1097" w:rsidRPr="00B83733">
              <w:rPr>
                <w:rStyle w:val="Hyperlink"/>
              </w:rPr>
              <w:t>Summary of Document Content</w:t>
            </w:r>
            <w:r w:rsidR="009D1097">
              <w:rPr>
                <w:webHidden/>
              </w:rPr>
              <w:tab/>
            </w:r>
            <w:r w:rsidR="009D1097">
              <w:rPr>
                <w:webHidden/>
              </w:rPr>
              <w:fldChar w:fldCharType="begin"/>
            </w:r>
            <w:r w:rsidR="009D1097">
              <w:rPr>
                <w:webHidden/>
              </w:rPr>
              <w:instrText xml:space="preserve"> PAGEREF _Toc208941432 \h </w:instrText>
            </w:r>
            <w:r w:rsidR="009D1097">
              <w:rPr>
                <w:webHidden/>
              </w:rPr>
            </w:r>
            <w:r w:rsidR="009D1097">
              <w:rPr>
                <w:webHidden/>
              </w:rPr>
              <w:fldChar w:fldCharType="separate"/>
            </w:r>
            <w:r w:rsidR="00F60625">
              <w:rPr>
                <w:webHidden/>
              </w:rPr>
              <w:t>11</w:t>
            </w:r>
            <w:r w:rsidR="009D1097">
              <w:rPr>
                <w:webHidden/>
              </w:rPr>
              <w:fldChar w:fldCharType="end"/>
            </w:r>
          </w:hyperlink>
        </w:p>
        <w:p w14:paraId="1392BD36" w14:textId="66033EF3" w:rsidR="009D1097" w:rsidRDefault="001437B8">
          <w:pPr>
            <w:pStyle w:val="TOC3"/>
            <w:rPr>
              <w:kern w:val="2"/>
              <w:sz w:val="24"/>
              <w14:ligatures w14:val="standardContextual"/>
            </w:rPr>
          </w:pPr>
          <w:hyperlink w:anchor="_Toc208941433" w:history="1">
            <w:r w:rsidR="009D1097" w:rsidRPr="00B83733">
              <w:rPr>
                <w:rStyle w:val="Hyperlink"/>
              </w:rPr>
              <w:t>1.A.3</w:t>
            </w:r>
            <w:r w:rsidR="009D1097">
              <w:rPr>
                <w:kern w:val="2"/>
                <w:sz w:val="24"/>
                <w14:ligatures w14:val="standardContextual"/>
              </w:rPr>
              <w:tab/>
            </w:r>
            <w:r w:rsidR="009D1097" w:rsidRPr="00B83733">
              <w:rPr>
                <w:rStyle w:val="Hyperlink"/>
              </w:rPr>
              <w:t>Preparation and Audience</w:t>
            </w:r>
            <w:r w:rsidR="009D1097">
              <w:rPr>
                <w:webHidden/>
              </w:rPr>
              <w:tab/>
            </w:r>
            <w:r w:rsidR="009D1097">
              <w:rPr>
                <w:webHidden/>
              </w:rPr>
              <w:fldChar w:fldCharType="begin"/>
            </w:r>
            <w:r w:rsidR="009D1097">
              <w:rPr>
                <w:webHidden/>
              </w:rPr>
              <w:instrText xml:space="preserve"> PAGEREF _Toc208941433 \h </w:instrText>
            </w:r>
            <w:r w:rsidR="009D1097">
              <w:rPr>
                <w:webHidden/>
              </w:rPr>
            </w:r>
            <w:r w:rsidR="009D1097">
              <w:rPr>
                <w:webHidden/>
              </w:rPr>
              <w:fldChar w:fldCharType="separate"/>
            </w:r>
            <w:r w:rsidR="00F60625">
              <w:rPr>
                <w:webHidden/>
              </w:rPr>
              <w:t>11</w:t>
            </w:r>
            <w:r w:rsidR="009D1097">
              <w:rPr>
                <w:webHidden/>
              </w:rPr>
              <w:fldChar w:fldCharType="end"/>
            </w:r>
          </w:hyperlink>
        </w:p>
        <w:p w14:paraId="7F718C11" w14:textId="0F9998F3" w:rsidR="009D1097" w:rsidRDefault="001437B8">
          <w:pPr>
            <w:pStyle w:val="TOC2"/>
            <w:rPr>
              <w:rFonts w:eastAsiaTheme="minorEastAsia" w:cstheme="minorBidi"/>
              <w:kern w:val="2"/>
              <w:sz w:val="24"/>
              <w:szCs w:val="24"/>
              <w:lang w:eastAsia="en-GB"/>
              <w14:ligatures w14:val="standardContextual"/>
            </w:rPr>
          </w:pPr>
          <w:hyperlink w:anchor="_Toc208941434" w:history="1">
            <w:r w:rsidR="009D1097" w:rsidRPr="00B83733">
              <w:rPr>
                <w:rStyle w:val="Hyperlink"/>
              </w:rPr>
              <w:t>1.B</w:t>
            </w:r>
            <w:r w:rsidR="009D1097">
              <w:rPr>
                <w:rFonts w:eastAsiaTheme="minorEastAsia" w:cstheme="minorBidi"/>
                <w:kern w:val="2"/>
                <w:sz w:val="24"/>
                <w:szCs w:val="24"/>
                <w:lang w:eastAsia="en-GB"/>
                <w14:ligatures w14:val="standardContextual"/>
              </w:rPr>
              <w:tab/>
            </w:r>
            <w:r w:rsidR="009D1097" w:rsidRPr="00B83733">
              <w:rPr>
                <w:rStyle w:val="Hyperlink"/>
              </w:rPr>
              <w:t>Background</w:t>
            </w:r>
            <w:r w:rsidR="009D1097">
              <w:rPr>
                <w:webHidden/>
              </w:rPr>
              <w:tab/>
            </w:r>
            <w:r w:rsidR="009D1097">
              <w:rPr>
                <w:webHidden/>
              </w:rPr>
              <w:fldChar w:fldCharType="begin"/>
            </w:r>
            <w:r w:rsidR="009D1097">
              <w:rPr>
                <w:webHidden/>
              </w:rPr>
              <w:instrText xml:space="preserve"> PAGEREF _Toc208941434 \h </w:instrText>
            </w:r>
            <w:r w:rsidR="009D1097">
              <w:rPr>
                <w:webHidden/>
              </w:rPr>
            </w:r>
            <w:r w:rsidR="009D1097">
              <w:rPr>
                <w:webHidden/>
              </w:rPr>
              <w:fldChar w:fldCharType="separate"/>
            </w:r>
            <w:r w:rsidR="00F60625">
              <w:rPr>
                <w:webHidden/>
              </w:rPr>
              <w:t>11</w:t>
            </w:r>
            <w:r w:rsidR="009D1097">
              <w:rPr>
                <w:webHidden/>
              </w:rPr>
              <w:fldChar w:fldCharType="end"/>
            </w:r>
          </w:hyperlink>
        </w:p>
        <w:p w14:paraId="42176502" w14:textId="553366DC" w:rsidR="009D1097" w:rsidRDefault="001437B8">
          <w:pPr>
            <w:pStyle w:val="TOC3"/>
            <w:rPr>
              <w:kern w:val="2"/>
              <w:sz w:val="24"/>
              <w14:ligatures w14:val="standardContextual"/>
            </w:rPr>
          </w:pPr>
          <w:hyperlink w:anchor="_Toc208941435" w:history="1">
            <w:r w:rsidR="009D1097" w:rsidRPr="00B83733">
              <w:rPr>
                <w:rStyle w:val="Hyperlink"/>
              </w:rPr>
              <w:t>1.B.1</w:t>
            </w:r>
            <w:r w:rsidR="009D1097">
              <w:rPr>
                <w:kern w:val="2"/>
                <w:sz w:val="24"/>
                <w14:ligatures w14:val="standardContextual"/>
              </w:rPr>
              <w:tab/>
            </w:r>
            <w:r w:rsidR="009D1097" w:rsidRPr="00B83733">
              <w:rPr>
                <w:rStyle w:val="Hyperlink"/>
              </w:rPr>
              <w:t>Legislative and Institutional Arrangements for PFM</w:t>
            </w:r>
            <w:r w:rsidR="009D1097">
              <w:rPr>
                <w:webHidden/>
              </w:rPr>
              <w:tab/>
            </w:r>
            <w:r w:rsidR="009D1097">
              <w:rPr>
                <w:webHidden/>
              </w:rPr>
              <w:fldChar w:fldCharType="begin"/>
            </w:r>
            <w:r w:rsidR="009D1097">
              <w:rPr>
                <w:webHidden/>
              </w:rPr>
              <w:instrText xml:space="preserve"> PAGEREF _Toc208941435 \h </w:instrText>
            </w:r>
            <w:r w:rsidR="009D1097">
              <w:rPr>
                <w:webHidden/>
              </w:rPr>
            </w:r>
            <w:r w:rsidR="009D1097">
              <w:rPr>
                <w:webHidden/>
              </w:rPr>
              <w:fldChar w:fldCharType="separate"/>
            </w:r>
            <w:r w:rsidR="00F60625">
              <w:rPr>
                <w:webHidden/>
              </w:rPr>
              <w:t>11</w:t>
            </w:r>
            <w:r w:rsidR="009D1097">
              <w:rPr>
                <w:webHidden/>
              </w:rPr>
              <w:fldChar w:fldCharType="end"/>
            </w:r>
          </w:hyperlink>
        </w:p>
        <w:p w14:paraId="168AC8BC" w14:textId="3A27A5E2" w:rsidR="009D1097" w:rsidRDefault="001437B8">
          <w:pPr>
            <w:pStyle w:val="TOC3"/>
            <w:rPr>
              <w:kern w:val="2"/>
              <w:sz w:val="24"/>
              <w14:ligatures w14:val="standardContextual"/>
            </w:rPr>
          </w:pPr>
          <w:hyperlink w:anchor="_Toc208941436" w:history="1">
            <w:r w:rsidR="009D1097" w:rsidRPr="00B83733">
              <w:rPr>
                <w:rStyle w:val="Hyperlink"/>
              </w:rPr>
              <w:t>1.B.2</w:t>
            </w:r>
            <w:r w:rsidR="009D1097">
              <w:rPr>
                <w:kern w:val="2"/>
                <w:sz w:val="24"/>
                <w14:ligatures w14:val="standardContextual"/>
              </w:rPr>
              <w:tab/>
            </w:r>
            <w:r w:rsidR="009D1097" w:rsidRPr="00B83733">
              <w:rPr>
                <w:rStyle w:val="Hyperlink"/>
              </w:rPr>
              <w:t>Overview of Budget Calendar</w:t>
            </w:r>
            <w:r w:rsidR="009D1097">
              <w:rPr>
                <w:webHidden/>
              </w:rPr>
              <w:tab/>
            </w:r>
            <w:r w:rsidR="009D1097">
              <w:rPr>
                <w:webHidden/>
              </w:rPr>
              <w:fldChar w:fldCharType="begin"/>
            </w:r>
            <w:r w:rsidR="009D1097">
              <w:rPr>
                <w:webHidden/>
              </w:rPr>
              <w:instrText xml:space="preserve"> PAGEREF _Toc208941436 \h </w:instrText>
            </w:r>
            <w:r w:rsidR="009D1097">
              <w:rPr>
                <w:webHidden/>
              </w:rPr>
            </w:r>
            <w:r w:rsidR="009D1097">
              <w:rPr>
                <w:webHidden/>
              </w:rPr>
              <w:fldChar w:fldCharType="separate"/>
            </w:r>
            <w:r w:rsidR="00F60625">
              <w:rPr>
                <w:webHidden/>
              </w:rPr>
              <w:t>13</w:t>
            </w:r>
            <w:r w:rsidR="009D1097">
              <w:rPr>
                <w:webHidden/>
              </w:rPr>
              <w:fldChar w:fldCharType="end"/>
            </w:r>
          </w:hyperlink>
        </w:p>
        <w:p w14:paraId="654380F4" w14:textId="71426E5F" w:rsidR="009D1097" w:rsidRDefault="001437B8">
          <w:pPr>
            <w:pStyle w:val="TOC1"/>
            <w:rPr>
              <w:kern w:val="2"/>
              <w:sz w:val="24"/>
              <w:szCs w:val="24"/>
              <w14:ligatures w14:val="standardContextual"/>
            </w:rPr>
          </w:pPr>
          <w:hyperlink w:anchor="_Toc208941437" w:history="1">
            <w:r w:rsidR="009D1097" w:rsidRPr="00B83733">
              <w:rPr>
                <w:rStyle w:val="Hyperlink"/>
              </w:rPr>
              <w:t>2</w:t>
            </w:r>
            <w:r w:rsidR="009D1097">
              <w:rPr>
                <w:kern w:val="2"/>
                <w:sz w:val="24"/>
                <w:szCs w:val="24"/>
                <w14:ligatures w14:val="standardContextual"/>
              </w:rPr>
              <w:tab/>
            </w:r>
            <w:r w:rsidR="009D1097" w:rsidRPr="00B83733">
              <w:rPr>
                <w:rStyle w:val="Hyperlink"/>
              </w:rPr>
              <w:t>Economic and Fiscal Update</w:t>
            </w:r>
            <w:r w:rsidR="009D1097">
              <w:rPr>
                <w:webHidden/>
              </w:rPr>
              <w:tab/>
            </w:r>
            <w:r w:rsidR="009D1097">
              <w:rPr>
                <w:webHidden/>
              </w:rPr>
              <w:fldChar w:fldCharType="begin"/>
            </w:r>
            <w:r w:rsidR="009D1097">
              <w:rPr>
                <w:webHidden/>
              </w:rPr>
              <w:instrText xml:space="preserve"> PAGEREF _Toc208941437 \h </w:instrText>
            </w:r>
            <w:r w:rsidR="009D1097">
              <w:rPr>
                <w:webHidden/>
              </w:rPr>
            </w:r>
            <w:r w:rsidR="009D1097">
              <w:rPr>
                <w:webHidden/>
              </w:rPr>
              <w:fldChar w:fldCharType="separate"/>
            </w:r>
            <w:r w:rsidR="00F60625">
              <w:rPr>
                <w:webHidden/>
              </w:rPr>
              <w:t>14</w:t>
            </w:r>
            <w:r w:rsidR="009D1097">
              <w:rPr>
                <w:webHidden/>
              </w:rPr>
              <w:fldChar w:fldCharType="end"/>
            </w:r>
          </w:hyperlink>
        </w:p>
        <w:p w14:paraId="69B6F45E" w14:textId="04D2BC2A" w:rsidR="009D1097" w:rsidRDefault="001437B8">
          <w:pPr>
            <w:pStyle w:val="TOC2"/>
            <w:rPr>
              <w:rFonts w:eastAsiaTheme="minorEastAsia" w:cstheme="minorBidi"/>
              <w:kern w:val="2"/>
              <w:sz w:val="24"/>
              <w:szCs w:val="24"/>
              <w:lang w:eastAsia="en-GB"/>
              <w14:ligatures w14:val="standardContextual"/>
            </w:rPr>
          </w:pPr>
          <w:hyperlink w:anchor="_Toc208941438" w:history="1">
            <w:r w:rsidR="009D1097" w:rsidRPr="00B83733">
              <w:rPr>
                <w:rStyle w:val="Hyperlink"/>
              </w:rPr>
              <w:t>2.A</w:t>
            </w:r>
            <w:r w:rsidR="009D1097">
              <w:rPr>
                <w:rFonts w:eastAsiaTheme="minorEastAsia" w:cstheme="minorBidi"/>
                <w:kern w:val="2"/>
                <w:sz w:val="24"/>
                <w:szCs w:val="24"/>
                <w:lang w:eastAsia="en-GB"/>
                <w14:ligatures w14:val="standardContextual"/>
              </w:rPr>
              <w:tab/>
            </w:r>
            <w:r w:rsidR="009D1097" w:rsidRPr="00B83733">
              <w:rPr>
                <w:rStyle w:val="Hyperlink"/>
              </w:rPr>
              <w:t>Economic Overview</w:t>
            </w:r>
            <w:r w:rsidR="009D1097">
              <w:rPr>
                <w:webHidden/>
              </w:rPr>
              <w:tab/>
            </w:r>
            <w:r w:rsidR="009D1097">
              <w:rPr>
                <w:webHidden/>
              </w:rPr>
              <w:fldChar w:fldCharType="begin"/>
            </w:r>
            <w:r w:rsidR="009D1097">
              <w:rPr>
                <w:webHidden/>
              </w:rPr>
              <w:instrText xml:space="preserve"> PAGEREF _Toc208941438 \h </w:instrText>
            </w:r>
            <w:r w:rsidR="009D1097">
              <w:rPr>
                <w:webHidden/>
              </w:rPr>
            </w:r>
            <w:r w:rsidR="009D1097">
              <w:rPr>
                <w:webHidden/>
              </w:rPr>
              <w:fldChar w:fldCharType="separate"/>
            </w:r>
            <w:r w:rsidR="00F60625">
              <w:rPr>
                <w:webHidden/>
              </w:rPr>
              <w:t>14</w:t>
            </w:r>
            <w:r w:rsidR="009D1097">
              <w:rPr>
                <w:webHidden/>
              </w:rPr>
              <w:fldChar w:fldCharType="end"/>
            </w:r>
          </w:hyperlink>
        </w:p>
        <w:p w14:paraId="2AC9B149" w14:textId="677A63A5" w:rsidR="009D1097" w:rsidRDefault="001437B8">
          <w:pPr>
            <w:pStyle w:val="TOC3"/>
            <w:rPr>
              <w:kern w:val="2"/>
              <w:sz w:val="24"/>
              <w14:ligatures w14:val="standardContextual"/>
            </w:rPr>
          </w:pPr>
          <w:hyperlink w:anchor="_Toc208941439" w:history="1">
            <w:r w:rsidR="009D1097" w:rsidRPr="00B83733">
              <w:rPr>
                <w:rStyle w:val="Hyperlink"/>
              </w:rPr>
              <w:t>2.A.1</w:t>
            </w:r>
            <w:r w:rsidR="009D1097">
              <w:rPr>
                <w:kern w:val="2"/>
                <w:sz w:val="24"/>
                <w14:ligatures w14:val="standardContextual"/>
              </w:rPr>
              <w:tab/>
            </w:r>
            <w:r w:rsidR="009D1097" w:rsidRPr="00B83733">
              <w:rPr>
                <w:rStyle w:val="Hyperlink"/>
              </w:rPr>
              <w:t>Global Economy</w:t>
            </w:r>
            <w:r w:rsidR="009D1097">
              <w:rPr>
                <w:webHidden/>
              </w:rPr>
              <w:tab/>
            </w:r>
            <w:r w:rsidR="009D1097">
              <w:rPr>
                <w:webHidden/>
              </w:rPr>
              <w:fldChar w:fldCharType="begin"/>
            </w:r>
            <w:r w:rsidR="009D1097">
              <w:rPr>
                <w:webHidden/>
              </w:rPr>
              <w:instrText xml:space="preserve"> PAGEREF _Toc208941439 \h </w:instrText>
            </w:r>
            <w:r w:rsidR="009D1097">
              <w:rPr>
                <w:webHidden/>
              </w:rPr>
            </w:r>
            <w:r w:rsidR="009D1097">
              <w:rPr>
                <w:webHidden/>
              </w:rPr>
              <w:fldChar w:fldCharType="separate"/>
            </w:r>
            <w:r w:rsidR="00F60625">
              <w:rPr>
                <w:webHidden/>
              </w:rPr>
              <w:t>14</w:t>
            </w:r>
            <w:r w:rsidR="009D1097">
              <w:rPr>
                <w:webHidden/>
              </w:rPr>
              <w:fldChar w:fldCharType="end"/>
            </w:r>
          </w:hyperlink>
        </w:p>
        <w:p w14:paraId="16A31005" w14:textId="057B2DAF" w:rsidR="009D1097" w:rsidRDefault="001437B8">
          <w:pPr>
            <w:pStyle w:val="TOC3"/>
            <w:rPr>
              <w:kern w:val="2"/>
              <w:sz w:val="24"/>
              <w14:ligatures w14:val="standardContextual"/>
            </w:rPr>
          </w:pPr>
          <w:hyperlink w:anchor="_Toc208941440" w:history="1">
            <w:r w:rsidR="009D1097" w:rsidRPr="00B83733">
              <w:rPr>
                <w:rStyle w:val="Hyperlink"/>
              </w:rPr>
              <w:t>2.A.2</w:t>
            </w:r>
            <w:r w:rsidR="009D1097">
              <w:rPr>
                <w:kern w:val="2"/>
                <w:sz w:val="24"/>
                <w14:ligatures w14:val="standardContextual"/>
              </w:rPr>
              <w:tab/>
            </w:r>
            <w:r w:rsidR="009D1097" w:rsidRPr="00B83733">
              <w:rPr>
                <w:rStyle w:val="Hyperlink"/>
              </w:rPr>
              <w:t>Africa</w:t>
            </w:r>
            <w:r w:rsidR="009D1097">
              <w:rPr>
                <w:webHidden/>
              </w:rPr>
              <w:tab/>
            </w:r>
            <w:r w:rsidR="009D1097">
              <w:rPr>
                <w:webHidden/>
              </w:rPr>
              <w:fldChar w:fldCharType="begin"/>
            </w:r>
            <w:r w:rsidR="009D1097">
              <w:rPr>
                <w:webHidden/>
              </w:rPr>
              <w:instrText xml:space="preserve"> PAGEREF _Toc208941440 \h </w:instrText>
            </w:r>
            <w:r w:rsidR="009D1097">
              <w:rPr>
                <w:webHidden/>
              </w:rPr>
            </w:r>
            <w:r w:rsidR="009D1097">
              <w:rPr>
                <w:webHidden/>
              </w:rPr>
              <w:fldChar w:fldCharType="separate"/>
            </w:r>
            <w:r w:rsidR="00F60625">
              <w:rPr>
                <w:webHidden/>
              </w:rPr>
              <w:t>16</w:t>
            </w:r>
            <w:r w:rsidR="009D1097">
              <w:rPr>
                <w:webHidden/>
              </w:rPr>
              <w:fldChar w:fldCharType="end"/>
            </w:r>
          </w:hyperlink>
        </w:p>
        <w:p w14:paraId="08AA42C5" w14:textId="0D9B7191" w:rsidR="009D1097" w:rsidRDefault="001437B8">
          <w:pPr>
            <w:pStyle w:val="TOC3"/>
            <w:rPr>
              <w:kern w:val="2"/>
              <w:sz w:val="24"/>
              <w14:ligatures w14:val="standardContextual"/>
            </w:rPr>
          </w:pPr>
          <w:hyperlink w:anchor="_Toc208941441" w:history="1">
            <w:r w:rsidR="009D1097" w:rsidRPr="00B83733">
              <w:rPr>
                <w:rStyle w:val="Hyperlink"/>
              </w:rPr>
              <w:t>2.A.3</w:t>
            </w:r>
            <w:r w:rsidR="009D1097">
              <w:rPr>
                <w:kern w:val="2"/>
                <w:sz w:val="24"/>
                <w14:ligatures w14:val="standardContextual"/>
              </w:rPr>
              <w:tab/>
            </w:r>
            <w:r w:rsidR="009D1097" w:rsidRPr="00B83733">
              <w:rPr>
                <w:rStyle w:val="Hyperlink"/>
              </w:rPr>
              <w:t>Nigerian Economy</w:t>
            </w:r>
            <w:r w:rsidR="009D1097">
              <w:rPr>
                <w:webHidden/>
              </w:rPr>
              <w:tab/>
            </w:r>
            <w:r w:rsidR="009D1097">
              <w:rPr>
                <w:webHidden/>
              </w:rPr>
              <w:fldChar w:fldCharType="begin"/>
            </w:r>
            <w:r w:rsidR="009D1097">
              <w:rPr>
                <w:webHidden/>
              </w:rPr>
              <w:instrText xml:space="preserve"> PAGEREF _Toc208941441 \h </w:instrText>
            </w:r>
            <w:r w:rsidR="009D1097">
              <w:rPr>
                <w:webHidden/>
              </w:rPr>
            </w:r>
            <w:r w:rsidR="009D1097">
              <w:rPr>
                <w:webHidden/>
              </w:rPr>
              <w:fldChar w:fldCharType="separate"/>
            </w:r>
            <w:r w:rsidR="00F60625">
              <w:rPr>
                <w:webHidden/>
              </w:rPr>
              <w:t>17</w:t>
            </w:r>
            <w:r w:rsidR="009D1097">
              <w:rPr>
                <w:webHidden/>
              </w:rPr>
              <w:fldChar w:fldCharType="end"/>
            </w:r>
          </w:hyperlink>
        </w:p>
        <w:p w14:paraId="06D046D4" w14:textId="52AC40FD" w:rsidR="009D1097" w:rsidRDefault="001437B8">
          <w:pPr>
            <w:pStyle w:val="TOC3"/>
            <w:rPr>
              <w:kern w:val="2"/>
              <w:sz w:val="24"/>
              <w14:ligatures w14:val="standardContextual"/>
            </w:rPr>
          </w:pPr>
          <w:hyperlink w:anchor="_Toc208941442" w:history="1">
            <w:r w:rsidR="009D1097" w:rsidRPr="00B83733">
              <w:rPr>
                <w:rStyle w:val="Hyperlink"/>
              </w:rPr>
              <w:t>2.A.4</w:t>
            </w:r>
            <w:r w:rsidR="009D1097">
              <w:rPr>
                <w:kern w:val="2"/>
                <w:sz w:val="24"/>
                <w14:ligatures w14:val="standardContextual"/>
              </w:rPr>
              <w:tab/>
            </w:r>
            <w:r w:rsidR="009D1097" w:rsidRPr="00B83733">
              <w:rPr>
                <w:rStyle w:val="Hyperlink"/>
              </w:rPr>
              <w:t>Benue State Economy</w:t>
            </w:r>
            <w:r w:rsidR="009D1097">
              <w:rPr>
                <w:webHidden/>
              </w:rPr>
              <w:tab/>
            </w:r>
            <w:r w:rsidR="009D1097">
              <w:rPr>
                <w:webHidden/>
              </w:rPr>
              <w:fldChar w:fldCharType="begin"/>
            </w:r>
            <w:r w:rsidR="009D1097">
              <w:rPr>
                <w:webHidden/>
              </w:rPr>
              <w:instrText xml:space="preserve"> PAGEREF _Toc208941442 \h </w:instrText>
            </w:r>
            <w:r w:rsidR="009D1097">
              <w:rPr>
                <w:webHidden/>
              </w:rPr>
            </w:r>
            <w:r w:rsidR="009D1097">
              <w:rPr>
                <w:webHidden/>
              </w:rPr>
              <w:fldChar w:fldCharType="separate"/>
            </w:r>
            <w:r w:rsidR="00F60625">
              <w:rPr>
                <w:webHidden/>
              </w:rPr>
              <w:t>21</w:t>
            </w:r>
            <w:r w:rsidR="009D1097">
              <w:rPr>
                <w:webHidden/>
              </w:rPr>
              <w:fldChar w:fldCharType="end"/>
            </w:r>
          </w:hyperlink>
        </w:p>
        <w:p w14:paraId="7F39DC86" w14:textId="58A35E96" w:rsidR="009D1097" w:rsidRDefault="001437B8">
          <w:pPr>
            <w:pStyle w:val="TOC2"/>
            <w:rPr>
              <w:rFonts w:eastAsiaTheme="minorEastAsia" w:cstheme="minorBidi"/>
              <w:kern w:val="2"/>
              <w:sz w:val="24"/>
              <w:szCs w:val="24"/>
              <w:lang w:eastAsia="en-GB"/>
              <w14:ligatures w14:val="standardContextual"/>
            </w:rPr>
          </w:pPr>
          <w:hyperlink w:anchor="_Toc208941443" w:history="1">
            <w:r w:rsidR="009D1097" w:rsidRPr="00B83733">
              <w:rPr>
                <w:rStyle w:val="Hyperlink"/>
              </w:rPr>
              <w:t>2.B</w:t>
            </w:r>
            <w:r w:rsidR="009D1097">
              <w:rPr>
                <w:rFonts w:eastAsiaTheme="minorEastAsia" w:cstheme="minorBidi"/>
                <w:kern w:val="2"/>
                <w:sz w:val="24"/>
                <w:szCs w:val="24"/>
                <w:lang w:eastAsia="en-GB"/>
                <w14:ligatures w14:val="standardContextual"/>
              </w:rPr>
              <w:tab/>
            </w:r>
            <w:r w:rsidR="009D1097" w:rsidRPr="00B83733">
              <w:rPr>
                <w:rStyle w:val="Hyperlink"/>
              </w:rPr>
              <w:t>Fiscal Update</w:t>
            </w:r>
            <w:r w:rsidR="009D1097">
              <w:rPr>
                <w:webHidden/>
              </w:rPr>
              <w:tab/>
            </w:r>
            <w:r w:rsidR="009D1097">
              <w:rPr>
                <w:webHidden/>
              </w:rPr>
              <w:fldChar w:fldCharType="begin"/>
            </w:r>
            <w:r w:rsidR="009D1097">
              <w:rPr>
                <w:webHidden/>
              </w:rPr>
              <w:instrText xml:space="preserve"> PAGEREF _Toc208941443 \h </w:instrText>
            </w:r>
            <w:r w:rsidR="009D1097">
              <w:rPr>
                <w:webHidden/>
              </w:rPr>
            </w:r>
            <w:r w:rsidR="009D1097">
              <w:rPr>
                <w:webHidden/>
              </w:rPr>
              <w:fldChar w:fldCharType="separate"/>
            </w:r>
            <w:r w:rsidR="00F60625">
              <w:rPr>
                <w:webHidden/>
              </w:rPr>
              <w:t>22</w:t>
            </w:r>
            <w:r w:rsidR="009D1097">
              <w:rPr>
                <w:webHidden/>
              </w:rPr>
              <w:fldChar w:fldCharType="end"/>
            </w:r>
          </w:hyperlink>
        </w:p>
        <w:p w14:paraId="69CDF2A5" w14:textId="0E762502" w:rsidR="009D1097" w:rsidRDefault="001437B8">
          <w:pPr>
            <w:pStyle w:val="TOC3"/>
            <w:rPr>
              <w:kern w:val="2"/>
              <w:sz w:val="24"/>
              <w14:ligatures w14:val="standardContextual"/>
            </w:rPr>
          </w:pPr>
          <w:hyperlink w:anchor="_Toc208941444" w:history="1">
            <w:r w:rsidR="009D1097" w:rsidRPr="00B83733">
              <w:rPr>
                <w:rStyle w:val="Hyperlink"/>
              </w:rPr>
              <w:t>2.B.1</w:t>
            </w:r>
            <w:r w:rsidR="009D1097">
              <w:rPr>
                <w:kern w:val="2"/>
                <w:sz w:val="24"/>
                <w14:ligatures w14:val="standardContextual"/>
              </w:rPr>
              <w:tab/>
            </w:r>
            <w:r w:rsidR="009D1097" w:rsidRPr="00B83733">
              <w:rPr>
                <w:rStyle w:val="Hyperlink"/>
              </w:rPr>
              <w:t>Historic Trends</w:t>
            </w:r>
            <w:r w:rsidR="009D1097">
              <w:rPr>
                <w:webHidden/>
              </w:rPr>
              <w:tab/>
            </w:r>
            <w:r w:rsidR="009D1097">
              <w:rPr>
                <w:webHidden/>
              </w:rPr>
              <w:fldChar w:fldCharType="begin"/>
            </w:r>
            <w:r w:rsidR="009D1097">
              <w:rPr>
                <w:webHidden/>
              </w:rPr>
              <w:instrText xml:space="preserve"> PAGEREF _Toc208941444 \h </w:instrText>
            </w:r>
            <w:r w:rsidR="009D1097">
              <w:rPr>
                <w:webHidden/>
              </w:rPr>
            </w:r>
            <w:r w:rsidR="009D1097">
              <w:rPr>
                <w:webHidden/>
              </w:rPr>
              <w:fldChar w:fldCharType="separate"/>
            </w:r>
            <w:r w:rsidR="00F60625">
              <w:rPr>
                <w:webHidden/>
              </w:rPr>
              <w:t>22</w:t>
            </w:r>
            <w:r w:rsidR="009D1097">
              <w:rPr>
                <w:webHidden/>
              </w:rPr>
              <w:fldChar w:fldCharType="end"/>
            </w:r>
          </w:hyperlink>
        </w:p>
        <w:p w14:paraId="1CE2886C" w14:textId="0C7FC274" w:rsidR="009D1097" w:rsidRDefault="001437B8">
          <w:pPr>
            <w:pStyle w:val="TOC3"/>
            <w:rPr>
              <w:kern w:val="2"/>
              <w:sz w:val="24"/>
              <w14:ligatures w14:val="standardContextual"/>
            </w:rPr>
          </w:pPr>
          <w:hyperlink w:anchor="_Toc208941445" w:history="1">
            <w:r w:rsidR="009D1097" w:rsidRPr="00B83733">
              <w:rPr>
                <w:rStyle w:val="Hyperlink"/>
              </w:rPr>
              <w:t>2.B.2</w:t>
            </w:r>
            <w:r w:rsidR="009D1097">
              <w:rPr>
                <w:kern w:val="2"/>
                <w:sz w:val="24"/>
                <w14:ligatures w14:val="standardContextual"/>
              </w:rPr>
              <w:tab/>
            </w:r>
            <w:r w:rsidR="009D1097" w:rsidRPr="00B83733">
              <w:rPr>
                <w:rStyle w:val="Hyperlink"/>
              </w:rPr>
              <w:t>Debt Position</w:t>
            </w:r>
            <w:r w:rsidR="009D1097">
              <w:rPr>
                <w:webHidden/>
              </w:rPr>
              <w:tab/>
            </w:r>
            <w:r w:rsidR="009D1097">
              <w:rPr>
                <w:webHidden/>
              </w:rPr>
              <w:fldChar w:fldCharType="begin"/>
            </w:r>
            <w:r w:rsidR="009D1097">
              <w:rPr>
                <w:webHidden/>
              </w:rPr>
              <w:instrText xml:space="preserve"> PAGEREF _Toc208941445 \h </w:instrText>
            </w:r>
            <w:r w:rsidR="009D1097">
              <w:rPr>
                <w:webHidden/>
              </w:rPr>
            </w:r>
            <w:r w:rsidR="009D1097">
              <w:rPr>
                <w:webHidden/>
              </w:rPr>
              <w:fldChar w:fldCharType="separate"/>
            </w:r>
            <w:r w:rsidR="00F60625">
              <w:rPr>
                <w:webHidden/>
              </w:rPr>
              <w:t>38</w:t>
            </w:r>
            <w:r w:rsidR="009D1097">
              <w:rPr>
                <w:webHidden/>
              </w:rPr>
              <w:fldChar w:fldCharType="end"/>
            </w:r>
          </w:hyperlink>
        </w:p>
        <w:p w14:paraId="399860F7" w14:textId="4D2F4CC4" w:rsidR="009D1097" w:rsidRDefault="001437B8">
          <w:pPr>
            <w:pStyle w:val="TOC1"/>
            <w:rPr>
              <w:kern w:val="2"/>
              <w:sz w:val="24"/>
              <w:szCs w:val="24"/>
              <w14:ligatures w14:val="standardContextual"/>
            </w:rPr>
          </w:pPr>
          <w:hyperlink w:anchor="_Toc208941446" w:history="1">
            <w:r w:rsidR="009D1097" w:rsidRPr="00B83733">
              <w:rPr>
                <w:rStyle w:val="Hyperlink"/>
              </w:rPr>
              <w:t>3</w:t>
            </w:r>
            <w:r w:rsidR="009D1097">
              <w:rPr>
                <w:kern w:val="2"/>
                <w:sz w:val="24"/>
                <w:szCs w:val="24"/>
                <w14:ligatures w14:val="standardContextual"/>
              </w:rPr>
              <w:tab/>
            </w:r>
            <w:r w:rsidR="009D1097" w:rsidRPr="00B83733">
              <w:rPr>
                <w:rStyle w:val="Hyperlink"/>
              </w:rPr>
              <w:t>Fiscal Strategy Paper</w:t>
            </w:r>
            <w:r w:rsidR="009D1097">
              <w:rPr>
                <w:webHidden/>
              </w:rPr>
              <w:tab/>
            </w:r>
            <w:r w:rsidR="009D1097">
              <w:rPr>
                <w:webHidden/>
              </w:rPr>
              <w:fldChar w:fldCharType="begin"/>
            </w:r>
            <w:r w:rsidR="009D1097">
              <w:rPr>
                <w:webHidden/>
              </w:rPr>
              <w:instrText xml:space="preserve"> PAGEREF _Toc208941446 \h </w:instrText>
            </w:r>
            <w:r w:rsidR="009D1097">
              <w:rPr>
                <w:webHidden/>
              </w:rPr>
            </w:r>
            <w:r w:rsidR="009D1097">
              <w:rPr>
                <w:webHidden/>
              </w:rPr>
              <w:fldChar w:fldCharType="separate"/>
            </w:r>
            <w:r w:rsidR="00F60625">
              <w:rPr>
                <w:webHidden/>
              </w:rPr>
              <w:t>40</w:t>
            </w:r>
            <w:r w:rsidR="009D1097">
              <w:rPr>
                <w:webHidden/>
              </w:rPr>
              <w:fldChar w:fldCharType="end"/>
            </w:r>
          </w:hyperlink>
        </w:p>
        <w:p w14:paraId="25CCB362" w14:textId="7A7551FF" w:rsidR="009D1097" w:rsidRDefault="001437B8">
          <w:pPr>
            <w:pStyle w:val="TOC2"/>
            <w:rPr>
              <w:rFonts w:eastAsiaTheme="minorEastAsia" w:cstheme="minorBidi"/>
              <w:kern w:val="2"/>
              <w:sz w:val="24"/>
              <w:szCs w:val="24"/>
              <w:lang w:eastAsia="en-GB"/>
              <w14:ligatures w14:val="standardContextual"/>
            </w:rPr>
          </w:pPr>
          <w:hyperlink w:anchor="_Toc208941447" w:history="1">
            <w:r w:rsidR="009D1097" w:rsidRPr="00B83733">
              <w:rPr>
                <w:rStyle w:val="Hyperlink"/>
              </w:rPr>
              <w:t>3.A</w:t>
            </w:r>
            <w:r w:rsidR="009D1097">
              <w:rPr>
                <w:rFonts w:eastAsiaTheme="minorEastAsia" w:cstheme="minorBidi"/>
                <w:kern w:val="2"/>
                <w:sz w:val="24"/>
                <w:szCs w:val="24"/>
                <w:lang w:eastAsia="en-GB"/>
                <w14:ligatures w14:val="standardContextual"/>
              </w:rPr>
              <w:tab/>
            </w:r>
            <w:r w:rsidR="009D1097" w:rsidRPr="00B83733">
              <w:rPr>
                <w:rStyle w:val="Hyperlink"/>
              </w:rPr>
              <w:t>Macroeconomic Framework</w:t>
            </w:r>
            <w:r w:rsidR="009D1097">
              <w:rPr>
                <w:webHidden/>
              </w:rPr>
              <w:tab/>
            </w:r>
            <w:r w:rsidR="009D1097">
              <w:rPr>
                <w:webHidden/>
              </w:rPr>
              <w:fldChar w:fldCharType="begin"/>
            </w:r>
            <w:r w:rsidR="009D1097">
              <w:rPr>
                <w:webHidden/>
              </w:rPr>
              <w:instrText xml:space="preserve"> PAGEREF _Toc208941447 \h </w:instrText>
            </w:r>
            <w:r w:rsidR="009D1097">
              <w:rPr>
                <w:webHidden/>
              </w:rPr>
            </w:r>
            <w:r w:rsidR="009D1097">
              <w:rPr>
                <w:webHidden/>
              </w:rPr>
              <w:fldChar w:fldCharType="separate"/>
            </w:r>
            <w:r w:rsidR="00F60625">
              <w:rPr>
                <w:webHidden/>
              </w:rPr>
              <w:t>40</w:t>
            </w:r>
            <w:r w:rsidR="009D1097">
              <w:rPr>
                <w:webHidden/>
              </w:rPr>
              <w:fldChar w:fldCharType="end"/>
            </w:r>
          </w:hyperlink>
        </w:p>
        <w:p w14:paraId="390A6D4D" w14:textId="47F4A971" w:rsidR="009D1097" w:rsidRDefault="001437B8">
          <w:pPr>
            <w:pStyle w:val="TOC2"/>
            <w:rPr>
              <w:rFonts w:eastAsiaTheme="minorEastAsia" w:cstheme="minorBidi"/>
              <w:kern w:val="2"/>
              <w:sz w:val="24"/>
              <w:szCs w:val="24"/>
              <w:lang w:eastAsia="en-GB"/>
              <w14:ligatures w14:val="standardContextual"/>
            </w:rPr>
          </w:pPr>
          <w:hyperlink w:anchor="_Toc208941448" w:history="1">
            <w:r w:rsidR="009D1097" w:rsidRPr="00B83733">
              <w:rPr>
                <w:rStyle w:val="Hyperlink"/>
              </w:rPr>
              <w:t>3.B</w:t>
            </w:r>
            <w:r w:rsidR="009D1097">
              <w:rPr>
                <w:rFonts w:eastAsiaTheme="minorEastAsia" w:cstheme="minorBidi"/>
                <w:kern w:val="2"/>
                <w:sz w:val="24"/>
                <w:szCs w:val="24"/>
                <w:lang w:eastAsia="en-GB"/>
                <w14:ligatures w14:val="standardContextual"/>
              </w:rPr>
              <w:tab/>
            </w:r>
            <w:r w:rsidR="009D1097" w:rsidRPr="00B83733">
              <w:rPr>
                <w:rStyle w:val="Hyperlink"/>
              </w:rPr>
              <w:t>Fiscal Strategy and Assumptions</w:t>
            </w:r>
            <w:r w:rsidR="009D1097">
              <w:rPr>
                <w:webHidden/>
              </w:rPr>
              <w:tab/>
            </w:r>
            <w:r w:rsidR="009D1097">
              <w:rPr>
                <w:webHidden/>
              </w:rPr>
              <w:fldChar w:fldCharType="begin"/>
            </w:r>
            <w:r w:rsidR="009D1097">
              <w:rPr>
                <w:webHidden/>
              </w:rPr>
              <w:instrText xml:space="preserve"> PAGEREF _Toc208941448 \h </w:instrText>
            </w:r>
            <w:r w:rsidR="009D1097">
              <w:rPr>
                <w:webHidden/>
              </w:rPr>
            </w:r>
            <w:r w:rsidR="009D1097">
              <w:rPr>
                <w:webHidden/>
              </w:rPr>
              <w:fldChar w:fldCharType="separate"/>
            </w:r>
            <w:r w:rsidR="00F60625">
              <w:rPr>
                <w:webHidden/>
              </w:rPr>
              <w:t>40</w:t>
            </w:r>
            <w:r w:rsidR="009D1097">
              <w:rPr>
                <w:webHidden/>
              </w:rPr>
              <w:fldChar w:fldCharType="end"/>
            </w:r>
          </w:hyperlink>
        </w:p>
        <w:p w14:paraId="600FED60" w14:textId="189F8038" w:rsidR="009D1097" w:rsidRDefault="001437B8">
          <w:pPr>
            <w:pStyle w:val="TOC2"/>
            <w:rPr>
              <w:rFonts w:eastAsiaTheme="minorEastAsia" w:cstheme="minorBidi"/>
              <w:kern w:val="2"/>
              <w:sz w:val="24"/>
              <w:szCs w:val="24"/>
              <w:lang w:eastAsia="en-GB"/>
              <w14:ligatures w14:val="standardContextual"/>
            </w:rPr>
          </w:pPr>
          <w:hyperlink w:anchor="_Toc208941449" w:history="1">
            <w:r w:rsidR="009D1097" w:rsidRPr="00B83733">
              <w:rPr>
                <w:rStyle w:val="Hyperlink"/>
              </w:rPr>
              <w:t>3.C</w:t>
            </w:r>
            <w:r w:rsidR="009D1097">
              <w:rPr>
                <w:rFonts w:eastAsiaTheme="minorEastAsia" w:cstheme="minorBidi"/>
                <w:kern w:val="2"/>
                <w:sz w:val="24"/>
                <w:szCs w:val="24"/>
                <w:lang w:eastAsia="en-GB"/>
                <w14:ligatures w14:val="standardContextual"/>
              </w:rPr>
              <w:tab/>
            </w:r>
            <w:r w:rsidR="009D1097" w:rsidRPr="00B83733">
              <w:rPr>
                <w:rStyle w:val="Hyperlink"/>
              </w:rPr>
              <w:t>Indicative Three-Year Fiscal Framework</w:t>
            </w:r>
            <w:r w:rsidR="009D1097">
              <w:rPr>
                <w:webHidden/>
              </w:rPr>
              <w:tab/>
            </w:r>
            <w:r w:rsidR="009D1097">
              <w:rPr>
                <w:webHidden/>
              </w:rPr>
              <w:fldChar w:fldCharType="begin"/>
            </w:r>
            <w:r w:rsidR="009D1097">
              <w:rPr>
                <w:webHidden/>
              </w:rPr>
              <w:instrText xml:space="preserve"> PAGEREF _Toc208941449 \h </w:instrText>
            </w:r>
            <w:r w:rsidR="009D1097">
              <w:rPr>
                <w:webHidden/>
              </w:rPr>
            </w:r>
            <w:r w:rsidR="009D1097">
              <w:rPr>
                <w:webHidden/>
              </w:rPr>
              <w:fldChar w:fldCharType="separate"/>
            </w:r>
            <w:r w:rsidR="00F60625">
              <w:rPr>
                <w:webHidden/>
              </w:rPr>
              <w:t>41</w:t>
            </w:r>
            <w:r w:rsidR="009D1097">
              <w:rPr>
                <w:webHidden/>
              </w:rPr>
              <w:fldChar w:fldCharType="end"/>
            </w:r>
          </w:hyperlink>
        </w:p>
        <w:p w14:paraId="5E1263E0" w14:textId="2D2000C0" w:rsidR="009D1097" w:rsidRDefault="001437B8">
          <w:pPr>
            <w:pStyle w:val="TOC3"/>
            <w:rPr>
              <w:kern w:val="2"/>
              <w:sz w:val="24"/>
              <w14:ligatures w14:val="standardContextual"/>
            </w:rPr>
          </w:pPr>
          <w:hyperlink w:anchor="_Toc208941450" w:history="1">
            <w:r w:rsidR="009D1097" w:rsidRPr="00B83733">
              <w:rPr>
                <w:rStyle w:val="Hyperlink"/>
              </w:rPr>
              <w:t>3.C.1</w:t>
            </w:r>
            <w:r w:rsidR="009D1097">
              <w:rPr>
                <w:kern w:val="2"/>
                <w:sz w:val="24"/>
                <w14:ligatures w14:val="standardContextual"/>
              </w:rPr>
              <w:tab/>
            </w:r>
            <w:r w:rsidR="009D1097" w:rsidRPr="00B83733">
              <w:rPr>
                <w:rStyle w:val="Hyperlink"/>
              </w:rPr>
              <w:t>Assumptions</w:t>
            </w:r>
            <w:r w:rsidR="009D1097">
              <w:rPr>
                <w:webHidden/>
              </w:rPr>
              <w:tab/>
            </w:r>
            <w:r w:rsidR="009D1097">
              <w:rPr>
                <w:webHidden/>
              </w:rPr>
              <w:fldChar w:fldCharType="begin"/>
            </w:r>
            <w:r w:rsidR="009D1097">
              <w:rPr>
                <w:webHidden/>
              </w:rPr>
              <w:instrText xml:space="preserve"> PAGEREF _Toc208941450 \h </w:instrText>
            </w:r>
            <w:r w:rsidR="009D1097">
              <w:rPr>
                <w:webHidden/>
              </w:rPr>
            </w:r>
            <w:r w:rsidR="009D1097">
              <w:rPr>
                <w:webHidden/>
              </w:rPr>
              <w:fldChar w:fldCharType="separate"/>
            </w:r>
            <w:r w:rsidR="00F60625">
              <w:rPr>
                <w:webHidden/>
              </w:rPr>
              <w:t>42</w:t>
            </w:r>
            <w:r w:rsidR="009D1097">
              <w:rPr>
                <w:webHidden/>
              </w:rPr>
              <w:fldChar w:fldCharType="end"/>
            </w:r>
          </w:hyperlink>
        </w:p>
        <w:p w14:paraId="028E66B7" w14:textId="3477FB7A" w:rsidR="009D1097" w:rsidRDefault="001437B8">
          <w:pPr>
            <w:pStyle w:val="TOC3"/>
            <w:rPr>
              <w:kern w:val="2"/>
              <w:sz w:val="24"/>
              <w14:ligatures w14:val="standardContextual"/>
            </w:rPr>
          </w:pPr>
          <w:hyperlink w:anchor="_Toc208941451" w:history="1">
            <w:r w:rsidR="009D1097" w:rsidRPr="00B83733">
              <w:rPr>
                <w:rStyle w:val="Hyperlink"/>
              </w:rPr>
              <w:t>3.C.2</w:t>
            </w:r>
            <w:r w:rsidR="009D1097">
              <w:rPr>
                <w:kern w:val="2"/>
                <w:sz w:val="24"/>
                <w14:ligatures w14:val="standardContextual"/>
              </w:rPr>
              <w:tab/>
            </w:r>
            <w:r w:rsidR="009D1097" w:rsidRPr="00B83733">
              <w:rPr>
                <w:rStyle w:val="Hyperlink"/>
              </w:rPr>
              <w:t>Fiscal Trends</w:t>
            </w:r>
            <w:r w:rsidR="009D1097">
              <w:rPr>
                <w:webHidden/>
              </w:rPr>
              <w:tab/>
            </w:r>
            <w:r w:rsidR="009D1097">
              <w:rPr>
                <w:webHidden/>
              </w:rPr>
              <w:fldChar w:fldCharType="begin"/>
            </w:r>
            <w:r w:rsidR="009D1097">
              <w:rPr>
                <w:webHidden/>
              </w:rPr>
              <w:instrText xml:space="preserve"> PAGEREF _Toc208941451 \h </w:instrText>
            </w:r>
            <w:r w:rsidR="009D1097">
              <w:rPr>
                <w:webHidden/>
              </w:rPr>
            </w:r>
            <w:r w:rsidR="009D1097">
              <w:rPr>
                <w:webHidden/>
              </w:rPr>
              <w:fldChar w:fldCharType="separate"/>
            </w:r>
            <w:r w:rsidR="00F60625">
              <w:rPr>
                <w:webHidden/>
              </w:rPr>
              <w:t>43</w:t>
            </w:r>
            <w:r w:rsidR="009D1097">
              <w:rPr>
                <w:webHidden/>
              </w:rPr>
              <w:fldChar w:fldCharType="end"/>
            </w:r>
          </w:hyperlink>
        </w:p>
        <w:p w14:paraId="2C0721E5" w14:textId="1F89E839" w:rsidR="009D1097" w:rsidRDefault="001437B8">
          <w:pPr>
            <w:pStyle w:val="TOC2"/>
            <w:rPr>
              <w:rFonts w:eastAsiaTheme="minorEastAsia" w:cstheme="minorBidi"/>
              <w:kern w:val="2"/>
              <w:sz w:val="24"/>
              <w:szCs w:val="24"/>
              <w:lang w:eastAsia="en-GB"/>
              <w14:ligatures w14:val="standardContextual"/>
            </w:rPr>
          </w:pPr>
          <w:hyperlink w:anchor="_Toc208941452" w:history="1">
            <w:r w:rsidR="009D1097" w:rsidRPr="00B83733">
              <w:rPr>
                <w:rStyle w:val="Hyperlink"/>
              </w:rPr>
              <w:t>3.D</w:t>
            </w:r>
            <w:r w:rsidR="009D1097">
              <w:rPr>
                <w:rFonts w:eastAsiaTheme="minorEastAsia" w:cstheme="minorBidi"/>
                <w:kern w:val="2"/>
                <w:sz w:val="24"/>
                <w:szCs w:val="24"/>
                <w:lang w:eastAsia="en-GB"/>
                <w14:ligatures w14:val="standardContextual"/>
              </w:rPr>
              <w:tab/>
            </w:r>
            <w:r w:rsidR="009D1097" w:rsidRPr="00B83733">
              <w:rPr>
                <w:rStyle w:val="Hyperlink"/>
              </w:rPr>
              <w:t>Local Government FAAC and IGR Estimates</w:t>
            </w:r>
            <w:r w:rsidR="009D1097">
              <w:rPr>
                <w:webHidden/>
              </w:rPr>
              <w:tab/>
            </w:r>
            <w:r w:rsidR="009D1097">
              <w:rPr>
                <w:webHidden/>
              </w:rPr>
              <w:fldChar w:fldCharType="begin"/>
            </w:r>
            <w:r w:rsidR="009D1097">
              <w:rPr>
                <w:webHidden/>
              </w:rPr>
              <w:instrText xml:space="preserve"> PAGEREF _Toc208941452 \h </w:instrText>
            </w:r>
            <w:r w:rsidR="009D1097">
              <w:rPr>
                <w:webHidden/>
              </w:rPr>
            </w:r>
            <w:r w:rsidR="009D1097">
              <w:rPr>
                <w:webHidden/>
              </w:rPr>
              <w:fldChar w:fldCharType="separate"/>
            </w:r>
            <w:r w:rsidR="00F60625">
              <w:rPr>
                <w:webHidden/>
              </w:rPr>
              <w:t>46</w:t>
            </w:r>
            <w:r w:rsidR="009D1097">
              <w:rPr>
                <w:webHidden/>
              </w:rPr>
              <w:fldChar w:fldCharType="end"/>
            </w:r>
          </w:hyperlink>
        </w:p>
        <w:p w14:paraId="28AC1680" w14:textId="497F51D8" w:rsidR="009D1097" w:rsidRDefault="001437B8">
          <w:pPr>
            <w:pStyle w:val="TOC2"/>
            <w:rPr>
              <w:rFonts w:eastAsiaTheme="minorEastAsia" w:cstheme="minorBidi"/>
              <w:kern w:val="2"/>
              <w:sz w:val="24"/>
              <w:szCs w:val="24"/>
              <w:lang w:eastAsia="en-GB"/>
              <w14:ligatures w14:val="standardContextual"/>
            </w:rPr>
          </w:pPr>
          <w:hyperlink w:anchor="_Toc208941453" w:history="1">
            <w:r w:rsidR="009D1097" w:rsidRPr="00B83733">
              <w:rPr>
                <w:rStyle w:val="Hyperlink"/>
              </w:rPr>
              <w:t>3.E</w:t>
            </w:r>
            <w:r w:rsidR="009D1097">
              <w:rPr>
                <w:rFonts w:eastAsiaTheme="minorEastAsia" w:cstheme="minorBidi"/>
                <w:kern w:val="2"/>
                <w:sz w:val="24"/>
                <w:szCs w:val="24"/>
                <w:lang w:eastAsia="en-GB"/>
                <w14:ligatures w14:val="standardContextual"/>
              </w:rPr>
              <w:tab/>
            </w:r>
            <w:r w:rsidR="009D1097" w:rsidRPr="00B83733">
              <w:rPr>
                <w:rStyle w:val="Hyperlink"/>
              </w:rPr>
              <w:t>Fiscal Risks</w:t>
            </w:r>
            <w:r w:rsidR="009D1097">
              <w:rPr>
                <w:webHidden/>
              </w:rPr>
              <w:tab/>
            </w:r>
            <w:r w:rsidR="009D1097">
              <w:rPr>
                <w:webHidden/>
              </w:rPr>
              <w:fldChar w:fldCharType="begin"/>
            </w:r>
            <w:r w:rsidR="009D1097">
              <w:rPr>
                <w:webHidden/>
              </w:rPr>
              <w:instrText xml:space="preserve"> PAGEREF _Toc208941453 \h </w:instrText>
            </w:r>
            <w:r w:rsidR="009D1097">
              <w:rPr>
                <w:webHidden/>
              </w:rPr>
            </w:r>
            <w:r w:rsidR="009D1097">
              <w:rPr>
                <w:webHidden/>
              </w:rPr>
              <w:fldChar w:fldCharType="separate"/>
            </w:r>
            <w:r w:rsidR="00F60625">
              <w:rPr>
                <w:webHidden/>
              </w:rPr>
              <w:t>47</w:t>
            </w:r>
            <w:r w:rsidR="009D1097">
              <w:rPr>
                <w:webHidden/>
              </w:rPr>
              <w:fldChar w:fldCharType="end"/>
            </w:r>
          </w:hyperlink>
        </w:p>
        <w:p w14:paraId="6CE801D7" w14:textId="52016BBC" w:rsidR="009D1097" w:rsidRDefault="001437B8">
          <w:pPr>
            <w:pStyle w:val="TOC1"/>
            <w:rPr>
              <w:kern w:val="2"/>
              <w:sz w:val="24"/>
              <w:szCs w:val="24"/>
              <w14:ligatures w14:val="standardContextual"/>
            </w:rPr>
          </w:pPr>
          <w:hyperlink w:anchor="_Toc208941454" w:history="1">
            <w:r w:rsidR="009D1097" w:rsidRPr="00B83733">
              <w:rPr>
                <w:rStyle w:val="Hyperlink"/>
              </w:rPr>
              <w:t>4</w:t>
            </w:r>
            <w:r w:rsidR="009D1097">
              <w:rPr>
                <w:kern w:val="2"/>
                <w:sz w:val="24"/>
                <w:szCs w:val="24"/>
                <w14:ligatures w14:val="standardContextual"/>
              </w:rPr>
              <w:tab/>
            </w:r>
            <w:r w:rsidR="009D1097" w:rsidRPr="00B83733">
              <w:rPr>
                <w:rStyle w:val="Hyperlink"/>
              </w:rPr>
              <w:t>Budget Policy Statement</w:t>
            </w:r>
            <w:r w:rsidR="009D1097">
              <w:rPr>
                <w:webHidden/>
              </w:rPr>
              <w:tab/>
            </w:r>
            <w:r w:rsidR="009D1097">
              <w:rPr>
                <w:webHidden/>
              </w:rPr>
              <w:fldChar w:fldCharType="begin"/>
            </w:r>
            <w:r w:rsidR="009D1097">
              <w:rPr>
                <w:webHidden/>
              </w:rPr>
              <w:instrText xml:space="preserve"> PAGEREF _Toc208941454 \h </w:instrText>
            </w:r>
            <w:r w:rsidR="009D1097">
              <w:rPr>
                <w:webHidden/>
              </w:rPr>
            </w:r>
            <w:r w:rsidR="009D1097">
              <w:rPr>
                <w:webHidden/>
              </w:rPr>
              <w:fldChar w:fldCharType="separate"/>
            </w:r>
            <w:r w:rsidR="00F60625">
              <w:rPr>
                <w:webHidden/>
              </w:rPr>
              <w:t>49</w:t>
            </w:r>
            <w:r w:rsidR="009D1097">
              <w:rPr>
                <w:webHidden/>
              </w:rPr>
              <w:fldChar w:fldCharType="end"/>
            </w:r>
          </w:hyperlink>
        </w:p>
        <w:p w14:paraId="1B9B910A" w14:textId="555DB159" w:rsidR="009D1097" w:rsidRDefault="001437B8">
          <w:pPr>
            <w:pStyle w:val="TOC2"/>
            <w:rPr>
              <w:rFonts w:eastAsiaTheme="minorEastAsia" w:cstheme="minorBidi"/>
              <w:kern w:val="2"/>
              <w:sz w:val="24"/>
              <w:szCs w:val="24"/>
              <w:lang w:eastAsia="en-GB"/>
              <w14:ligatures w14:val="standardContextual"/>
            </w:rPr>
          </w:pPr>
          <w:hyperlink w:anchor="_Toc208941455" w:history="1">
            <w:r w:rsidR="009D1097" w:rsidRPr="00B83733">
              <w:rPr>
                <w:rStyle w:val="Hyperlink"/>
              </w:rPr>
              <w:t>4.A</w:t>
            </w:r>
            <w:r w:rsidR="009D1097">
              <w:rPr>
                <w:rFonts w:eastAsiaTheme="minorEastAsia" w:cstheme="minorBidi"/>
                <w:kern w:val="2"/>
                <w:sz w:val="24"/>
                <w:szCs w:val="24"/>
                <w:lang w:eastAsia="en-GB"/>
                <w14:ligatures w14:val="standardContextual"/>
              </w:rPr>
              <w:tab/>
            </w:r>
            <w:r w:rsidR="009D1097" w:rsidRPr="00B83733">
              <w:rPr>
                <w:rStyle w:val="Hyperlink"/>
              </w:rPr>
              <w:t>Budget Policy Thrust</w:t>
            </w:r>
            <w:r w:rsidR="009D1097">
              <w:rPr>
                <w:webHidden/>
              </w:rPr>
              <w:tab/>
            </w:r>
            <w:r w:rsidR="009D1097">
              <w:rPr>
                <w:webHidden/>
              </w:rPr>
              <w:fldChar w:fldCharType="begin"/>
            </w:r>
            <w:r w:rsidR="009D1097">
              <w:rPr>
                <w:webHidden/>
              </w:rPr>
              <w:instrText xml:space="preserve"> PAGEREF _Toc208941455 \h </w:instrText>
            </w:r>
            <w:r w:rsidR="009D1097">
              <w:rPr>
                <w:webHidden/>
              </w:rPr>
            </w:r>
            <w:r w:rsidR="009D1097">
              <w:rPr>
                <w:webHidden/>
              </w:rPr>
              <w:fldChar w:fldCharType="separate"/>
            </w:r>
            <w:r w:rsidR="00F60625">
              <w:rPr>
                <w:webHidden/>
              </w:rPr>
              <w:t>49</w:t>
            </w:r>
            <w:r w:rsidR="009D1097">
              <w:rPr>
                <w:webHidden/>
              </w:rPr>
              <w:fldChar w:fldCharType="end"/>
            </w:r>
          </w:hyperlink>
        </w:p>
        <w:p w14:paraId="3A17F0BE" w14:textId="1BCAE66E" w:rsidR="009D1097" w:rsidRDefault="001437B8">
          <w:pPr>
            <w:pStyle w:val="TOC2"/>
            <w:rPr>
              <w:rFonts w:eastAsiaTheme="minorEastAsia" w:cstheme="minorBidi"/>
              <w:kern w:val="2"/>
              <w:sz w:val="24"/>
              <w:szCs w:val="24"/>
              <w:lang w:eastAsia="en-GB"/>
              <w14:ligatures w14:val="standardContextual"/>
            </w:rPr>
          </w:pPr>
          <w:hyperlink w:anchor="_Toc208941456" w:history="1">
            <w:r w:rsidR="009D1097" w:rsidRPr="00B83733">
              <w:rPr>
                <w:rStyle w:val="Hyperlink"/>
              </w:rPr>
              <w:t>4.B</w:t>
            </w:r>
            <w:r w:rsidR="009D1097">
              <w:rPr>
                <w:rFonts w:eastAsiaTheme="minorEastAsia" w:cstheme="minorBidi"/>
                <w:kern w:val="2"/>
                <w:sz w:val="24"/>
                <w:szCs w:val="24"/>
                <w:lang w:eastAsia="en-GB"/>
                <w14:ligatures w14:val="standardContextual"/>
              </w:rPr>
              <w:tab/>
            </w:r>
            <w:r w:rsidR="009D1097" w:rsidRPr="00B83733">
              <w:rPr>
                <w:rStyle w:val="Hyperlink"/>
              </w:rPr>
              <w:t>Sector Allocations (3 Year)</w:t>
            </w:r>
            <w:r w:rsidR="009D1097">
              <w:rPr>
                <w:webHidden/>
              </w:rPr>
              <w:tab/>
            </w:r>
            <w:r w:rsidR="009D1097">
              <w:rPr>
                <w:webHidden/>
              </w:rPr>
              <w:fldChar w:fldCharType="begin"/>
            </w:r>
            <w:r w:rsidR="009D1097">
              <w:rPr>
                <w:webHidden/>
              </w:rPr>
              <w:instrText xml:space="preserve"> PAGEREF _Toc208941456 \h </w:instrText>
            </w:r>
            <w:r w:rsidR="009D1097">
              <w:rPr>
                <w:webHidden/>
              </w:rPr>
            </w:r>
            <w:r w:rsidR="009D1097">
              <w:rPr>
                <w:webHidden/>
              </w:rPr>
              <w:fldChar w:fldCharType="separate"/>
            </w:r>
            <w:r w:rsidR="00F60625">
              <w:rPr>
                <w:webHidden/>
              </w:rPr>
              <w:t>49</w:t>
            </w:r>
            <w:r w:rsidR="009D1097">
              <w:rPr>
                <w:webHidden/>
              </w:rPr>
              <w:fldChar w:fldCharType="end"/>
            </w:r>
          </w:hyperlink>
        </w:p>
        <w:p w14:paraId="437B8722" w14:textId="033E32CF" w:rsidR="009D1097" w:rsidRDefault="001437B8">
          <w:pPr>
            <w:pStyle w:val="TOC2"/>
            <w:rPr>
              <w:rFonts w:eastAsiaTheme="minorEastAsia" w:cstheme="minorBidi"/>
              <w:kern w:val="2"/>
              <w:sz w:val="24"/>
              <w:szCs w:val="24"/>
              <w:lang w:eastAsia="en-GB"/>
              <w14:ligatures w14:val="standardContextual"/>
            </w:rPr>
          </w:pPr>
          <w:hyperlink w:anchor="_Toc208941457" w:history="1">
            <w:r w:rsidR="009D1097" w:rsidRPr="00B83733">
              <w:rPr>
                <w:rStyle w:val="Hyperlink"/>
              </w:rPr>
              <w:t>4.C</w:t>
            </w:r>
            <w:r w:rsidR="009D1097">
              <w:rPr>
                <w:rFonts w:eastAsiaTheme="minorEastAsia" w:cstheme="minorBidi"/>
                <w:kern w:val="2"/>
                <w:sz w:val="24"/>
                <w:szCs w:val="24"/>
                <w:lang w:eastAsia="en-GB"/>
                <w14:ligatures w14:val="standardContextual"/>
              </w:rPr>
              <w:tab/>
            </w:r>
            <w:r w:rsidR="009D1097" w:rsidRPr="00B83733">
              <w:rPr>
                <w:rStyle w:val="Hyperlink"/>
              </w:rPr>
              <w:t>Considerations for the Annual Budget Process</w:t>
            </w:r>
            <w:r w:rsidR="009D1097">
              <w:rPr>
                <w:webHidden/>
              </w:rPr>
              <w:tab/>
            </w:r>
            <w:r w:rsidR="009D1097">
              <w:rPr>
                <w:webHidden/>
              </w:rPr>
              <w:fldChar w:fldCharType="begin"/>
            </w:r>
            <w:r w:rsidR="009D1097">
              <w:rPr>
                <w:webHidden/>
              </w:rPr>
              <w:instrText xml:space="preserve"> PAGEREF _Toc208941457 \h </w:instrText>
            </w:r>
            <w:r w:rsidR="009D1097">
              <w:rPr>
                <w:webHidden/>
              </w:rPr>
            </w:r>
            <w:r w:rsidR="009D1097">
              <w:rPr>
                <w:webHidden/>
              </w:rPr>
              <w:fldChar w:fldCharType="separate"/>
            </w:r>
            <w:r w:rsidR="00F60625">
              <w:rPr>
                <w:webHidden/>
              </w:rPr>
              <w:t>53</w:t>
            </w:r>
            <w:r w:rsidR="009D1097">
              <w:rPr>
                <w:webHidden/>
              </w:rPr>
              <w:fldChar w:fldCharType="end"/>
            </w:r>
          </w:hyperlink>
        </w:p>
        <w:p w14:paraId="74FC0295" w14:textId="3D7688BF" w:rsidR="009D1097" w:rsidRDefault="001437B8">
          <w:pPr>
            <w:pStyle w:val="TOC1"/>
            <w:rPr>
              <w:kern w:val="2"/>
              <w:sz w:val="24"/>
              <w:szCs w:val="24"/>
              <w14:ligatures w14:val="standardContextual"/>
            </w:rPr>
          </w:pPr>
          <w:hyperlink w:anchor="_Toc208941458" w:history="1">
            <w:r w:rsidR="009D1097" w:rsidRPr="00B83733">
              <w:rPr>
                <w:rStyle w:val="Hyperlink"/>
              </w:rPr>
              <w:t>5</w:t>
            </w:r>
            <w:r w:rsidR="009D1097">
              <w:rPr>
                <w:kern w:val="2"/>
                <w:sz w:val="24"/>
                <w:szCs w:val="24"/>
                <w14:ligatures w14:val="standardContextual"/>
              </w:rPr>
              <w:tab/>
            </w:r>
            <w:r w:rsidR="009D1097" w:rsidRPr="00B83733">
              <w:rPr>
                <w:rStyle w:val="Hyperlink"/>
              </w:rPr>
              <w:t>Summary of Key Points and Recommendations</w:t>
            </w:r>
            <w:r w:rsidR="009D1097">
              <w:rPr>
                <w:webHidden/>
              </w:rPr>
              <w:tab/>
            </w:r>
            <w:r w:rsidR="009D1097">
              <w:rPr>
                <w:webHidden/>
              </w:rPr>
              <w:fldChar w:fldCharType="begin"/>
            </w:r>
            <w:r w:rsidR="009D1097">
              <w:rPr>
                <w:webHidden/>
              </w:rPr>
              <w:instrText xml:space="preserve"> PAGEREF _Toc208941458 \h </w:instrText>
            </w:r>
            <w:r w:rsidR="009D1097">
              <w:rPr>
                <w:webHidden/>
              </w:rPr>
            </w:r>
            <w:r w:rsidR="009D1097">
              <w:rPr>
                <w:webHidden/>
              </w:rPr>
              <w:fldChar w:fldCharType="separate"/>
            </w:r>
            <w:r w:rsidR="00F60625">
              <w:rPr>
                <w:webHidden/>
              </w:rPr>
              <w:t>54</w:t>
            </w:r>
            <w:r w:rsidR="009D1097">
              <w:rPr>
                <w:webHidden/>
              </w:rPr>
              <w:fldChar w:fldCharType="end"/>
            </w:r>
          </w:hyperlink>
        </w:p>
        <w:p w14:paraId="41A3E15B" w14:textId="02FC092A" w:rsidR="00017CCA" w:rsidRDefault="002E3BCB" w:rsidP="009655E0">
          <w:pPr>
            <w:pStyle w:val="TOC1"/>
          </w:pPr>
          <w:r w:rsidRPr="009655E0">
            <w:fldChar w:fldCharType="end"/>
          </w:r>
        </w:p>
      </w:sdtContent>
    </w:sdt>
    <w:p w14:paraId="23E5923C" w14:textId="31DD0CF7" w:rsidR="002D74EC" w:rsidRDefault="002D74EC">
      <w:pPr>
        <w:spacing w:before="0" w:after="200" w:line="276" w:lineRule="auto"/>
        <w:jc w:val="left"/>
        <w:rPr>
          <w:rFonts w:eastAsia="Times New Roman" w:cs="Times New Roman"/>
          <w:szCs w:val="24"/>
        </w:rPr>
      </w:pPr>
      <w:r>
        <w:br w:type="page"/>
      </w:r>
    </w:p>
    <w:p w14:paraId="084724E5" w14:textId="77777777" w:rsidR="00934A18" w:rsidRDefault="00934A18">
      <w:pPr>
        <w:pStyle w:val="TableofFigures"/>
        <w:tabs>
          <w:tab w:val="right" w:leader="dot" w:pos="9628"/>
        </w:tabs>
      </w:pPr>
    </w:p>
    <w:p w14:paraId="45CF2C83" w14:textId="714828A5" w:rsidR="00934A18" w:rsidRPr="00934A18" w:rsidRDefault="00934A18" w:rsidP="00934A18">
      <w:pPr>
        <w:pStyle w:val="SectionHeading"/>
      </w:pPr>
      <w:r>
        <w:t>List of Figures</w:t>
      </w:r>
    </w:p>
    <w:p w14:paraId="732CA215" w14:textId="50E2B45E" w:rsidR="009D1097" w:rsidRDefault="00934A18">
      <w:pPr>
        <w:pStyle w:val="TableofFigures"/>
        <w:tabs>
          <w:tab w:val="right" w:leader="dot" w:pos="9628"/>
        </w:tabs>
        <w:rPr>
          <w:rFonts w:eastAsiaTheme="minorEastAsia" w:cstheme="minorBidi"/>
          <w:noProof/>
          <w:kern w:val="2"/>
          <w:sz w:val="24"/>
          <w14:ligatures w14:val="standardContextual"/>
        </w:rPr>
      </w:pPr>
      <w:r>
        <w:fldChar w:fldCharType="begin"/>
      </w:r>
      <w:r>
        <w:instrText xml:space="preserve"> TOC \h \z \c "Figure" </w:instrText>
      </w:r>
      <w:r>
        <w:fldChar w:fldCharType="separate"/>
      </w:r>
      <w:hyperlink w:anchor="_Toc208941459" w:history="1">
        <w:r w:rsidR="009D1097" w:rsidRPr="000C51A1">
          <w:rPr>
            <w:rStyle w:val="Hyperlink"/>
            <w:noProof/>
          </w:rPr>
          <w:t>Figure 1: MTEF Process</w:t>
        </w:r>
        <w:r w:rsidR="009D1097">
          <w:rPr>
            <w:noProof/>
            <w:webHidden/>
          </w:rPr>
          <w:tab/>
        </w:r>
        <w:r w:rsidR="009D1097">
          <w:rPr>
            <w:noProof/>
            <w:webHidden/>
          </w:rPr>
          <w:fldChar w:fldCharType="begin"/>
        </w:r>
        <w:r w:rsidR="009D1097">
          <w:rPr>
            <w:noProof/>
            <w:webHidden/>
          </w:rPr>
          <w:instrText xml:space="preserve"> PAGEREF _Toc208941459 \h </w:instrText>
        </w:r>
        <w:r w:rsidR="009D1097">
          <w:rPr>
            <w:noProof/>
            <w:webHidden/>
          </w:rPr>
        </w:r>
        <w:r w:rsidR="009D1097">
          <w:rPr>
            <w:noProof/>
            <w:webHidden/>
          </w:rPr>
          <w:fldChar w:fldCharType="separate"/>
        </w:r>
        <w:r w:rsidR="00F60625">
          <w:rPr>
            <w:noProof/>
            <w:webHidden/>
          </w:rPr>
          <w:t>10</w:t>
        </w:r>
        <w:r w:rsidR="009D1097">
          <w:rPr>
            <w:noProof/>
            <w:webHidden/>
          </w:rPr>
          <w:fldChar w:fldCharType="end"/>
        </w:r>
      </w:hyperlink>
    </w:p>
    <w:p w14:paraId="1252E1DD" w14:textId="1F47CEDF"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0" w:history="1">
        <w:r w:rsidR="009D1097" w:rsidRPr="000C51A1">
          <w:rPr>
            <w:rStyle w:val="Hyperlink"/>
            <w:noProof/>
          </w:rPr>
          <w:t>Figure 2: Statutory Allocation</w:t>
        </w:r>
        <w:r w:rsidR="009D1097">
          <w:rPr>
            <w:noProof/>
            <w:webHidden/>
          </w:rPr>
          <w:tab/>
        </w:r>
        <w:r w:rsidR="009D1097">
          <w:rPr>
            <w:noProof/>
            <w:webHidden/>
          </w:rPr>
          <w:fldChar w:fldCharType="begin"/>
        </w:r>
        <w:r w:rsidR="009D1097">
          <w:rPr>
            <w:noProof/>
            <w:webHidden/>
          </w:rPr>
          <w:instrText xml:space="preserve"> PAGEREF _Toc208941460 \h </w:instrText>
        </w:r>
        <w:r w:rsidR="009D1097">
          <w:rPr>
            <w:noProof/>
            <w:webHidden/>
          </w:rPr>
        </w:r>
        <w:r w:rsidR="009D1097">
          <w:rPr>
            <w:noProof/>
            <w:webHidden/>
          </w:rPr>
          <w:fldChar w:fldCharType="separate"/>
        </w:r>
        <w:r w:rsidR="00F60625">
          <w:rPr>
            <w:noProof/>
            <w:webHidden/>
          </w:rPr>
          <w:t>22</w:t>
        </w:r>
        <w:r w:rsidR="009D1097">
          <w:rPr>
            <w:noProof/>
            <w:webHidden/>
          </w:rPr>
          <w:fldChar w:fldCharType="end"/>
        </w:r>
      </w:hyperlink>
    </w:p>
    <w:p w14:paraId="10AF93DC" w14:textId="18E7C448"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1" w:history="1">
        <w:r w:rsidR="009D1097" w:rsidRPr="000C51A1">
          <w:rPr>
            <w:rStyle w:val="Hyperlink"/>
            <w:noProof/>
          </w:rPr>
          <w:t>Figure 3: VAT</w:t>
        </w:r>
        <w:r w:rsidR="009D1097">
          <w:rPr>
            <w:noProof/>
            <w:webHidden/>
          </w:rPr>
          <w:tab/>
        </w:r>
        <w:r w:rsidR="009D1097">
          <w:rPr>
            <w:noProof/>
            <w:webHidden/>
          </w:rPr>
          <w:fldChar w:fldCharType="begin"/>
        </w:r>
        <w:r w:rsidR="009D1097">
          <w:rPr>
            <w:noProof/>
            <w:webHidden/>
          </w:rPr>
          <w:instrText xml:space="preserve"> PAGEREF _Toc208941461 \h </w:instrText>
        </w:r>
        <w:r w:rsidR="009D1097">
          <w:rPr>
            <w:noProof/>
            <w:webHidden/>
          </w:rPr>
        </w:r>
        <w:r w:rsidR="009D1097">
          <w:rPr>
            <w:noProof/>
            <w:webHidden/>
          </w:rPr>
          <w:fldChar w:fldCharType="separate"/>
        </w:r>
        <w:r w:rsidR="00F60625">
          <w:rPr>
            <w:noProof/>
            <w:webHidden/>
          </w:rPr>
          <w:t>23</w:t>
        </w:r>
        <w:r w:rsidR="009D1097">
          <w:rPr>
            <w:noProof/>
            <w:webHidden/>
          </w:rPr>
          <w:fldChar w:fldCharType="end"/>
        </w:r>
      </w:hyperlink>
    </w:p>
    <w:p w14:paraId="3AC817B8" w14:textId="56F0AE1D"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2" w:history="1">
        <w:r w:rsidR="009D1097" w:rsidRPr="000C51A1">
          <w:rPr>
            <w:rStyle w:val="Hyperlink"/>
            <w:noProof/>
          </w:rPr>
          <w:t>Figure 4: IGR</w:t>
        </w:r>
        <w:r w:rsidR="009D1097">
          <w:rPr>
            <w:noProof/>
            <w:webHidden/>
          </w:rPr>
          <w:tab/>
        </w:r>
        <w:r w:rsidR="009D1097">
          <w:rPr>
            <w:noProof/>
            <w:webHidden/>
          </w:rPr>
          <w:fldChar w:fldCharType="begin"/>
        </w:r>
        <w:r w:rsidR="009D1097">
          <w:rPr>
            <w:noProof/>
            <w:webHidden/>
          </w:rPr>
          <w:instrText xml:space="preserve"> PAGEREF _Toc208941462 \h </w:instrText>
        </w:r>
        <w:r w:rsidR="009D1097">
          <w:rPr>
            <w:noProof/>
            <w:webHidden/>
          </w:rPr>
        </w:r>
        <w:r w:rsidR="009D1097">
          <w:rPr>
            <w:noProof/>
            <w:webHidden/>
          </w:rPr>
          <w:fldChar w:fldCharType="separate"/>
        </w:r>
        <w:r w:rsidR="00F60625">
          <w:rPr>
            <w:noProof/>
            <w:webHidden/>
          </w:rPr>
          <w:t>24</w:t>
        </w:r>
        <w:r w:rsidR="009D1097">
          <w:rPr>
            <w:noProof/>
            <w:webHidden/>
          </w:rPr>
          <w:fldChar w:fldCharType="end"/>
        </w:r>
      </w:hyperlink>
    </w:p>
    <w:p w14:paraId="2942BB8C" w14:textId="4656F877"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3" w:history="1">
        <w:r w:rsidR="009D1097" w:rsidRPr="000C51A1">
          <w:rPr>
            <w:rStyle w:val="Hyperlink"/>
            <w:noProof/>
          </w:rPr>
          <w:t>Figure 5: Other Federation Account Receipts</w:t>
        </w:r>
        <w:r w:rsidR="009D1097">
          <w:rPr>
            <w:noProof/>
            <w:webHidden/>
          </w:rPr>
          <w:tab/>
        </w:r>
        <w:r w:rsidR="009D1097">
          <w:rPr>
            <w:noProof/>
            <w:webHidden/>
          </w:rPr>
          <w:fldChar w:fldCharType="begin"/>
        </w:r>
        <w:r w:rsidR="009D1097">
          <w:rPr>
            <w:noProof/>
            <w:webHidden/>
          </w:rPr>
          <w:instrText xml:space="preserve"> PAGEREF _Toc208941463 \h </w:instrText>
        </w:r>
        <w:r w:rsidR="009D1097">
          <w:rPr>
            <w:noProof/>
            <w:webHidden/>
          </w:rPr>
        </w:r>
        <w:r w:rsidR="009D1097">
          <w:rPr>
            <w:noProof/>
            <w:webHidden/>
          </w:rPr>
          <w:fldChar w:fldCharType="separate"/>
        </w:r>
        <w:r w:rsidR="00F60625">
          <w:rPr>
            <w:noProof/>
            <w:webHidden/>
          </w:rPr>
          <w:t>25</w:t>
        </w:r>
        <w:r w:rsidR="009D1097">
          <w:rPr>
            <w:noProof/>
            <w:webHidden/>
          </w:rPr>
          <w:fldChar w:fldCharType="end"/>
        </w:r>
      </w:hyperlink>
    </w:p>
    <w:p w14:paraId="0021AB33" w14:textId="7AA9AE0B"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4" w:history="1">
        <w:r w:rsidR="009D1097" w:rsidRPr="000C51A1">
          <w:rPr>
            <w:rStyle w:val="Hyperlink"/>
            <w:noProof/>
          </w:rPr>
          <w:t>Figure 6: Grants</w:t>
        </w:r>
        <w:r w:rsidR="009D1097">
          <w:rPr>
            <w:noProof/>
            <w:webHidden/>
          </w:rPr>
          <w:tab/>
        </w:r>
        <w:r w:rsidR="009D1097">
          <w:rPr>
            <w:noProof/>
            <w:webHidden/>
          </w:rPr>
          <w:fldChar w:fldCharType="begin"/>
        </w:r>
        <w:r w:rsidR="009D1097">
          <w:rPr>
            <w:noProof/>
            <w:webHidden/>
          </w:rPr>
          <w:instrText xml:space="preserve"> PAGEREF _Toc208941464 \h </w:instrText>
        </w:r>
        <w:r w:rsidR="009D1097">
          <w:rPr>
            <w:noProof/>
            <w:webHidden/>
          </w:rPr>
        </w:r>
        <w:r w:rsidR="009D1097">
          <w:rPr>
            <w:noProof/>
            <w:webHidden/>
          </w:rPr>
          <w:fldChar w:fldCharType="separate"/>
        </w:r>
        <w:r w:rsidR="00F60625">
          <w:rPr>
            <w:noProof/>
            <w:webHidden/>
          </w:rPr>
          <w:t>26</w:t>
        </w:r>
        <w:r w:rsidR="009D1097">
          <w:rPr>
            <w:noProof/>
            <w:webHidden/>
          </w:rPr>
          <w:fldChar w:fldCharType="end"/>
        </w:r>
      </w:hyperlink>
    </w:p>
    <w:p w14:paraId="26B185FE" w14:textId="02DA00EE"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5" w:history="1">
        <w:r w:rsidR="009D1097" w:rsidRPr="000C51A1">
          <w:rPr>
            <w:rStyle w:val="Hyperlink"/>
            <w:noProof/>
          </w:rPr>
          <w:t>Figure 7: Other Capital Receipts</w:t>
        </w:r>
        <w:r w:rsidR="009D1097">
          <w:rPr>
            <w:noProof/>
            <w:webHidden/>
          </w:rPr>
          <w:tab/>
        </w:r>
        <w:r w:rsidR="009D1097">
          <w:rPr>
            <w:noProof/>
            <w:webHidden/>
          </w:rPr>
          <w:fldChar w:fldCharType="begin"/>
        </w:r>
        <w:r w:rsidR="009D1097">
          <w:rPr>
            <w:noProof/>
            <w:webHidden/>
          </w:rPr>
          <w:instrText xml:space="preserve"> PAGEREF _Toc208941465 \h </w:instrText>
        </w:r>
        <w:r w:rsidR="009D1097">
          <w:rPr>
            <w:noProof/>
            <w:webHidden/>
          </w:rPr>
        </w:r>
        <w:r w:rsidR="009D1097">
          <w:rPr>
            <w:noProof/>
            <w:webHidden/>
          </w:rPr>
          <w:fldChar w:fldCharType="separate"/>
        </w:r>
        <w:r w:rsidR="00F60625">
          <w:rPr>
            <w:noProof/>
            <w:webHidden/>
          </w:rPr>
          <w:t>27</w:t>
        </w:r>
        <w:r w:rsidR="009D1097">
          <w:rPr>
            <w:noProof/>
            <w:webHidden/>
          </w:rPr>
          <w:fldChar w:fldCharType="end"/>
        </w:r>
      </w:hyperlink>
    </w:p>
    <w:p w14:paraId="036E192D" w14:textId="59B4A69C"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6" w:history="1">
        <w:r w:rsidR="009D1097" w:rsidRPr="000C51A1">
          <w:rPr>
            <w:rStyle w:val="Hyperlink"/>
            <w:noProof/>
          </w:rPr>
          <w:t>Figure 8: Loans/Financing</w:t>
        </w:r>
        <w:r w:rsidR="009D1097">
          <w:rPr>
            <w:noProof/>
            <w:webHidden/>
          </w:rPr>
          <w:tab/>
        </w:r>
        <w:r w:rsidR="009D1097">
          <w:rPr>
            <w:noProof/>
            <w:webHidden/>
          </w:rPr>
          <w:fldChar w:fldCharType="begin"/>
        </w:r>
        <w:r w:rsidR="009D1097">
          <w:rPr>
            <w:noProof/>
            <w:webHidden/>
          </w:rPr>
          <w:instrText xml:space="preserve"> PAGEREF _Toc208941466 \h </w:instrText>
        </w:r>
        <w:r w:rsidR="009D1097">
          <w:rPr>
            <w:noProof/>
            <w:webHidden/>
          </w:rPr>
        </w:r>
        <w:r w:rsidR="009D1097">
          <w:rPr>
            <w:noProof/>
            <w:webHidden/>
          </w:rPr>
          <w:fldChar w:fldCharType="separate"/>
        </w:r>
        <w:r w:rsidR="00F60625">
          <w:rPr>
            <w:noProof/>
            <w:webHidden/>
          </w:rPr>
          <w:t>28</w:t>
        </w:r>
        <w:r w:rsidR="009D1097">
          <w:rPr>
            <w:noProof/>
            <w:webHidden/>
          </w:rPr>
          <w:fldChar w:fldCharType="end"/>
        </w:r>
      </w:hyperlink>
    </w:p>
    <w:p w14:paraId="31C8822E" w14:textId="00AE149B"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7" w:history="1">
        <w:r w:rsidR="009D1097" w:rsidRPr="000C51A1">
          <w:rPr>
            <w:rStyle w:val="Hyperlink"/>
            <w:noProof/>
          </w:rPr>
          <w:t>Figure 9: Personnel</w:t>
        </w:r>
        <w:r w:rsidR="009D1097">
          <w:rPr>
            <w:noProof/>
            <w:webHidden/>
          </w:rPr>
          <w:tab/>
        </w:r>
        <w:r w:rsidR="009D1097">
          <w:rPr>
            <w:noProof/>
            <w:webHidden/>
          </w:rPr>
          <w:fldChar w:fldCharType="begin"/>
        </w:r>
        <w:r w:rsidR="009D1097">
          <w:rPr>
            <w:noProof/>
            <w:webHidden/>
          </w:rPr>
          <w:instrText xml:space="preserve"> PAGEREF _Toc208941467 \h </w:instrText>
        </w:r>
        <w:r w:rsidR="009D1097">
          <w:rPr>
            <w:noProof/>
            <w:webHidden/>
          </w:rPr>
        </w:r>
        <w:r w:rsidR="009D1097">
          <w:rPr>
            <w:noProof/>
            <w:webHidden/>
          </w:rPr>
          <w:fldChar w:fldCharType="separate"/>
        </w:r>
        <w:r w:rsidR="00F60625">
          <w:rPr>
            <w:noProof/>
            <w:webHidden/>
          </w:rPr>
          <w:t>29</w:t>
        </w:r>
        <w:r w:rsidR="009D1097">
          <w:rPr>
            <w:noProof/>
            <w:webHidden/>
          </w:rPr>
          <w:fldChar w:fldCharType="end"/>
        </w:r>
      </w:hyperlink>
    </w:p>
    <w:p w14:paraId="7436E657" w14:textId="474AA401"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8" w:history="1">
        <w:r w:rsidR="009D1097" w:rsidRPr="000C51A1">
          <w:rPr>
            <w:rStyle w:val="Hyperlink"/>
            <w:noProof/>
          </w:rPr>
          <w:t>Figure 10: Social Benefits</w:t>
        </w:r>
        <w:r w:rsidR="009D1097">
          <w:rPr>
            <w:noProof/>
            <w:webHidden/>
          </w:rPr>
          <w:tab/>
        </w:r>
        <w:r w:rsidR="009D1097">
          <w:rPr>
            <w:noProof/>
            <w:webHidden/>
          </w:rPr>
          <w:fldChar w:fldCharType="begin"/>
        </w:r>
        <w:r w:rsidR="009D1097">
          <w:rPr>
            <w:noProof/>
            <w:webHidden/>
          </w:rPr>
          <w:instrText xml:space="preserve"> PAGEREF _Toc208941468 \h </w:instrText>
        </w:r>
        <w:r w:rsidR="009D1097">
          <w:rPr>
            <w:noProof/>
            <w:webHidden/>
          </w:rPr>
        </w:r>
        <w:r w:rsidR="009D1097">
          <w:rPr>
            <w:noProof/>
            <w:webHidden/>
          </w:rPr>
          <w:fldChar w:fldCharType="separate"/>
        </w:r>
        <w:r w:rsidR="00F60625">
          <w:rPr>
            <w:noProof/>
            <w:webHidden/>
          </w:rPr>
          <w:t>30</w:t>
        </w:r>
        <w:r w:rsidR="009D1097">
          <w:rPr>
            <w:noProof/>
            <w:webHidden/>
          </w:rPr>
          <w:fldChar w:fldCharType="end"/>
        </w:r>
      </w:hyperlink>
    </w:p>
    <w:p w14:paraId="792F8A51" w14:textId="4FC27656"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69" w:history="1">
        <w:r w:rsidR="009D1097" w:rsidRPr="000C51A1">
          <w:rPr>
            <w:rStyle w:val="Hyperlink"/>
            <w:noProof/>
          </w:rPr>
          <w:t>Figure 11: Overheads</w:t>
        </w:r>
        <w:r w:rsidR="009D1097">
          <w:rPr>
            <w:noProof/>
            <w:webHidden/>
          </w:rPr>
          <w:tab/>
        </w:r>
        <w:r w:rsidR="009D1097">
          <w:rPr>
            <w:noProof/>
            <w:webHidden/>
          </w:rPr>
          <w:fldChar w:fldCharType="begin"/>
        </w:r>
        <w:r w:rsidR="009D1097">
          <w:rPr>
            <w:noProof/>
            <w:webHidden/>
          </w:rPr>
          <w:instrText xml:space="preserve"> PAGEREF _Toc208941469 \h </w:instrText>
        </w:r>
        <w:r w:rsidR="009D1097">
          <w:rPr>
            <w:noProof/>
            <w:webHidden/>
          </w:rPr>
        </w:r>
        <w:r w:rsidR="009D1097">
          <w:rPr>
            <w:noProof/>
            <w:webHidden/>
          </w:rPr>
          <w:fldChar w:fldCharType="separate"/>
        </w:r>
        <w:r w:rsidR="00F60625">
          <w:rPr>
            <w:noProof/>
            <w:webHidden/>
          </w:rPr>
          <w:t>31</w:t>
        </w:r>
        <w:r w:rsidR="009D1097">
          <w:rPr>
            <w:noProof/>
            <w:webHidden/>
          </w:rPr>
          <w:fldChar w:fldCharType="end"/>
        </w:r>
      </w:hyperlink>
    </w:p>
    <w:p w14:paraId="2FDA493A" w14:textId="0118FCBC"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0" w:history="1">
        <w:r w:rsidR="009D1097" w:rsidRPr="000C51A1">
          <w:rPr>
            <w:rStyle w:val="Hyperlink"/>
            <w:noProof/>
          </w:rPr>
          <w:t>Figure 12: Grants, Contributions, Subsidies, Transfers</w:t>
        </w:r>
        <w:r w:rsidR="009D1097">
          <w:rPr>
            <w:noProof/>
            <w:webHidden/>
          </w:rPr>
          <w:tab/>
        </w:r>
        <w:r w:rsidR="009D1097">
          <w:rPr>
            <w:noProof/>
            <w:webHidden/>
          </w:rPr>
          <w:fldChar w:fldCharType="begin"/>
        </w:r>
        <w:r w:rsidR="009D1097">
          <w:rPr>
            <w:noProof/>
            <w:webHidden/>
          </w:rPr>
          <w:instrText xml:space="preserve"> PAGEREF _Toc208941470 \h </w:instrText>
        </w:r>
        <w:r w:rsidR="009D1097">
          <w:rPr>
            <w:noProof/>
            <w:webHidden/>
          </w:rPr>
        </w:r>
        <w:r w:rsidR="009D1097">
          <w:rPr>
            <w:noProof/>
            <w:webHidden/>
          </w:rPr>
          <w:fldChar w:fldCharType="separate"/>
        </w:r>
        <w:r w:rsidR="00F60625">
          <w:rPr>
            <w:noProof/>
            <w:webHidden/>
          </w:rPr>
          <w:t>32</w:t>
        </w:r>
        <w:r w:rsidR="009D1097">
          <w:rPr>
            <w:noProof/>
            <w:webHidden/>
          </w:rPr>
          <w:fldChar w:fldCharType="end"/>
        </w:r>
      </w:hyperlink>
    </w:p>
    <w:p w14:paraId="6437FD07" w14:textId="5D00DA04"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1" w:history="1">
        <w:r w:rsidR="009D1097" w:rsidRPr="000C51A1">
          <w:rPr>
            <w:rStyle w:val="Hyperlink"/>
            <w:noProof/>
          </w:rPr>
          <w:t>Figure 13: Public Debt Service</w:t>
        </w:r>
        <w:r w:rsidR="009D1097">
          <w:rPr>
            <w:noProof/>
            <w:webHidden/>
          </w:rPr>
          <w:tab/>
        </w:r>
        <w:r w:rsidR="009D1097">
          <w:rPr>
            <w:noProof/>
            <w:webHidden/>
          </w:rPr>
          <w:fldChar w:fldCharType="begin"/>
        </w:r>
        <w:r w:rsidR="009D1097">
          <w:rPr>
            <w:noProof/>
            <w:webHidden/>
          </w:rPr>
          <w:instrText xml:space="preserve"> PAGEREF _Toc208941471 \h </w:instrText>
        </w:r>
        <w:r w:rsidR="009D1097">
          <w:rPr>
            <w:noProof/>
            <w:webHidden/>
          </w:rPr>
        </w:r>
        <w:r w:rsidR="009D1097">
          <w:rPr>
            <w:noProof/>
            <w:webHidden/>
          </w:rPr>
          <w:fldChar w:fldCharType="separate"/>
        </w:r>
        <w:r w:rsidR="00F60625">
          <w:rPr>
            <w:noProof/>
            <w:webHidden/>
          </w:rPr>
          <w:t>32</w:t>
        </w:r>
        <w:r w:rsidR="009D1097">
          <w:rPr>
            <w:noProof/>
            <w:webHidden/>
          </w:rPr>
          <w:fldChar w:fldCharType="end"/>
        </w:r>
      </w:hyperlink>
    </w:p>
    <w:p w14:paraId="52F2CFE8" w14:textId="3B7616BD"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2" w:history="1">
        <w:r w:rsidR="009D1097" w:rsidRPr="000C51A1">
          <w:rPr>
            <w:rStyle w:val="Hyperlink"/>
            <w:noProof/>
          </w:rPr>
          <w:t>Figure 14: Capital Expenditure</w:t>
        </w:r>
        <w:r w:rsidR="009D1097">
          <w:rPr>
            <w:noProof/>
            <w:webHidden/>
          </w:rPr>
          <w:tab/>
        </w:r>
        <w:r w:rsidR="009D1097">
          <w:rPr>
            <w:noProof/>
            <w:webHidden/>
          </w:rPr>
          <w:fldChar w:fldCharType="begin"/>
        </w:r>
        <w:r w:rsidR="009D1097">
          <w:rPr>
            <w:noProof/>
            <w:webHidden/>
          </w:rPr>
          <w:instrText xml:space="preserve"> PAGEREF _Toc208941472 \h </w:instrText>
        </w:r>
        <w:r w:rsidR="009D1097">
          <w:rPr>
            <w:noProof/>
            <w:webHidden/>
          </w:rPr>
        </w:r>
        <w:r w:rsidR="009D1097">
          <w:rPr>
            <w:noProof/>
            <w:webHidden/>
          </w:rPr>
          <w:fldChar w:fldCharType="separate"/>
        </w:r>
        <w:r w:rsidR="00F60625">
          <w:rPr>
            <w:noProof/>
            <w:webHidden/>
          </w:rPr>
          <w:t>33</w:t>
        </w:r>
        <w:r w:rsidR="009D1097">
          <w:rPr>
            <w:noProof/>
            <w:webHidden/>
          </w:rPr>
          <w:fldChar w:fldCharType="end"/>
        </w:r>
      </w:hyperlink>
    </w:p>
    <w:p w14:paraId="481ED35E" w14:textId="59E64C76"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3" w:history="1">
        <w:r w:rsidR="009D1097" w:rsidRPr="000C51A1">
          <w:rPr>
            <w:rStyle w:val="Hyperlink"/>
            <w:noProof/>
          </w:rPr>
          <w:t>Figure 15: Recurrent: Capital Expenditure Ratio</w:t>
        </w:r>
        <w:r w:rsidR="009D1097">
          <w:rPr>
            <w:noProof/>
            <w:webHidden/>
          </w:rPr>
          <w:tab/>
        </w:r>
        <w:r w:rsidR="009D1097">
          <w:rPr>
            <w:noProof/>
            <w:webHidden/>
          </w:rPr>
          <w:fldChar w:fldCharType="begin"/>
        </w:r>
        <w:r w:rsidR="009D1097">
          <w:rPr>
            <w:noProof/>
            <w:webHidden/>
          </w:rPr>
          <w:instrText xml:space="preserve"> PAGEREF _Toc208941473 \h </w:instrText>
        </w:r>
        <w:r w:rsidR="009D1097">
          <w:rPr>
            <w:noProof/>
            <w:webHidden/>
          </w:rPr>
        </w:r>
        <w:r w:rsidR="009D1097">
          <w:rPr>
            <w:noProof/>
            <w:webHidden/>
          </w:rPr>
          <w:fldChar w:fldCharType="separate"/>
        </w:r>
        <w:r w:rsidR="00F60625">
          <w:rPr>
            <w:noProof/>
            <w:webHidden/>
          </w:rPr>
          <w:t>34</w:t>
        </w:r>
        <w:r w:rsidR="009D1097">
          <w:rPr>
            <w:noProof/>
            <w:webHidden/>
          </w:rPr>
          <w:fldChar w:fldCharType="end"/>
        </w:r>
      </w:hyperlink>
    </w:p>
    <w:p w14:paraId="619FA00D" w14:textId="4E069DCC"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4" w:history="1">
        <w:r w:rsidR="009D1097" w:rsidRPr="000C51A1">
          <w:rPr>
            <w:rStyle w:val="Hyperlink"/>
            <w:noProof/>
          </w:rPr>
          <w:t>Figure 16: Sector Expenditure Trend</w:t>
        </w:r>
        <w:r w:rsidR="009D1097">
          <w:rPr>
            <w:noProof/>
            <w:webHidden/>
          </w:rPr>
          <w:tab/>
        </w:r>
        <w:r w:rsidR="009D1097">
          <w:rPr>
            <w:noProof/>
            <w:webHidden/>
          </w:rPr>
          <w:fldChar w:fldCharType="begin"/>
        </w:r>
        <w:r w:rsidR="009D1097">
          <w:rPr>
            <w:noProof/>
            <w:webHidden/>
          </w:rPr>
          <w:instrText xml:space="preserve"> PAGEREF _Toc208941474 \h </w:instrText>
        </w:r>
        <w:r w:rsidR="009D1097">
          <w:rPr>
            <w:noProof/>
            <w:webHidden/>
          </w:rPr>
        </w:r>
        <w:r w:rsidR="009D1097">
          <w:rPr>
            <w:noProof/>
            <w:webHidden/>
          </w:rPr>
          <w:fldChar w:fldCharType="separate"/>
        </w:r>
        <w:r w:rsidR="00F60625">
          <w:rPr>
            <w:noProof/>
            <w:webHidden/>
          </w:rPr>
          <w:t>35</w:t>
        </w:r>
        <w:r w:rsidR="009D1097">
          <w:rPr>
            <w:noProof/>
            <w:webHidden/>
          </w:rPr>
          <w:fldChar w:fldCharType="end"/>
        </w:r>
      </w:hyperlink>
    </w:p>
    <w:p w14:paraId="43CC09EF" w14:textId="31F3B6F8"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5" w:history="1">
        <w:r w:rsidR="009D1097" w:rsidRPr="000C51A1">
          <w:rPr>
            <w:rStyle w:val="Hyperlink"/>
            <w:noProof/>
          </w:rPr>
          <w:t>Figure 17: Benue State Macroeconomic Framework</w:t>
        </w:r>
        <w:r w:rsidR="009D1097">
          <w:rPr>
            <w:noProof/>
            <w:webHidden/>
          </w:rPr>
          <w:tab/>
        </w:r>
        <w:r w:rsidR="009D1097">
          <w:rPr>
            <w:noProof/>
            <w:webHidden/>
          </w:rPr>
          <w:fldChar w:fldCharType="begin"/>
        </w:r>
        <w:r w:rsidR="009D1097">
          <w:rPr>
            <w:noProof/>
            <w:webHidden/>
          </w:rPr>
          <w:instrText xml:space="preserve"> PAGEREF _Toc208941475 \h </w:instrText>
        </w:r>
        <w:r w:rsidR="009D1097">
          <w:rPr>
            <w:noProof/>
            <w:webHidden/>
          </w:rPr>
        </w:r>
        <w:r w:rsidR="009D1097">
          <w:rPr>
            <w:noProof/>
            <w:webHidden/>
          </w:rPr>
          <w:fldChar w:fldCharType="separate"/>
        </w:r>
        <w:r w:rsidR="00F60625">
          <w:rPr>
            <w:noProof/>
            <w:webHidden/>
          </w:rPr>
          <w:t>40</w:t>
        </w:r>
        <w:r w:rsidR="009D1097">
          <w:rPr>
            <w:noProof/>
            <w:webHidden/>
          </w:rPr>
          <w:fldChar w:fldCharType="end"/>
        </w:r>
      </w:hyperlink>
    </w:p>
    <w:p w14:paraId="05A5EF4B" w14:textId="59269841"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6" w:history="1">
        <w:r w:rsidR="009D1097" w:rsidRPr="000C51A1">
          <w:rPr>
            <w:rStyle w:val="Hyperlink"/>
            <w:noProof/>
          </w:rPr>
          <w:t>Figure 18: Benue State Revenue Trend</w:t>
        </w:r>
        <w:r w:rsidR="009D1097">
          <w:rPr>
            <w:noProof/>
            <w:webHidden/>
          </w:rPr>
          <w:tab/>
        </w:r>
        <w:r w:rsidR="009D1097">
          <w:rPr>
            <w:noProof/>
            <w:webHidden/>
          </w:rPr>
          <w:fldChar w:fldCharType="begin"/>
        </w:r>
        <w:r w:rsidR="009D1097">
          <w:rPr>
            <w:noProof/>
            <w:webHidden/>
          </w:rPr>
          <w:instrText xml:space="preserve"> PAGEREF _Toc208941476 \h </w:instrText>
        </w:r>
        <w:r w:rsidR="009D1097">
          <w:rPr>
            <w:noProof/>
            <w:webHidden/>
          </w:rPr>
        </w:r>
        <w:r w:rsidR="009D1097">
          <w:rPr>
            <w:noProof/>
            <w:webHidden/>
          </w:rPr>
          <w:fldChar w:fldCharType="separate"/>
        </w:r>
        <w:r w:rsidR="00F60625">
          <w:rPr>
            <w:noProof/>
            <w:webHidden/>
          </w:rPr>
          <w:t>44</w:t>
        </w:r>
        <w:r w:rsidR="009D1097">
          <w:rPr>
            <w:noProof/>
            <w:webHidden/>
          </w:rPr>
          <w:fldChar w:fldCharType="end"/>
        </w:r>
      </w:hyperlink>
    </w:p>
    <w:p w14:paraId="49D9BF13" w14:textId="321FE85E"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7" w:history="1">
        <w:r w:rsidR="009D1097" w:rsidRPr="000C51A1">
          <w:rPr>
            <w:rStyle w:val="Hyperlink"/>
            <w:noProof/>
          </w:rPr>
          <w:t>Figure 19: Benue State Expenditure Trend</w:t>
        </w:r>
        <w:r w:rsidR="009D1097">
          <w:rPr>
            <w:noProof/>
            <w:webHidden/>
          </w:rPr>
          <w:tab/>
        </w:r>
        <w:r w:rsidR="009D1097">
          <w:rPr>
            <w:noProof/>
            <w:webHidden/>
          </w:rPr>
          <w:fldChar w:fldCharType="begin"/>
        </w:r>
        <w:r w:rsidR="009D1097">
          <w:rPr>
            <w:noProof/>
            <w:webHidden/>
          </w:rPr>
          <w:instrText xml:space="preserve"> PAGEREF _Toc208941477 \h </w:instrText>
        </w:r>
        <w:r w:rsidR="009D1097">
          <w:rPr>
            <w:noProof/>
            <w:webHidden/>
          </w:rPr>
        </w:r>
        <w:r w:rsidR="009D1097">
          <w:rPr>
            <w:noProof/>
            <w:webHidden/>
          </w:rPr>
          <w:fldChar w:fldCharType="separate"/>
        </w:r>
        <w:r w:rsidR="00F60625">
          <w:rPr>
            <w:noProof/>
            <w:webHidden/>
          </w:rPr>
          <w:t>45</w:t>
        </w:r>
        <w:r w:rsidR="009D1097">
          <w:rPr>
            <w:noProof/>
            <w:webHidden/>
          </w:rPr>
          <w:fldChar w:fldCharType="end"/>
        </w:r>
      </w:hyperlink>
    </w:p>
    <w:p w14:paraId="2E87C985" w14:textId="418429E6" w:rsidR="00F97B18" w:rsidRDefault="00934A18" w:rsidP="00017CCA">
      <w:r>
        <w:fldChar w:fldCharType="end"/>
      </w:r>
    </w:p>
    <w:p w14:paraId="3771B38D" w14:textId="223A765C" w:rsidR="00934A18" w:rsidRDefault="009E2B45" w:rsidP="009E2B45">
      <w:pPr>
        <w:pStyle w:val="SectionHeading"/>
        <w:tabs>
          <w:tab w:val="left" w:pos="3110"/>
          <w:tab w:val="center" w:pos="4819"/>
        </w:tabs>
        <w:jc w:val="left"/>
      </w:pPr>
      <w:r>
        <w:tab/>
      </w:r>
      <w:r>
        <w:tab/>
      </w:r>
      <w:r w:rsidR="00934A18">
        <w:t>List of Tables</w:t>
      </w:r>
    </w:p>
    <w:p w14:paraId="4A57933D" w14:textId="70A3266E" w:rsidR="009D1097" w:rsidRDefault="00934A18">
      <w:pPr>
        <w:pStyle w:val="TableofFigures"/>
        <w:tabs>
          <w:tab w:val="right" w:leader="dot" w:pos="9628"/>
        </w:tabs>
        <w:rPr>
          <w:rFonts w:eastAsiaTheme="minorEastAsia" w:cstheme="minorBidi"/>
          <w:noProof/>
          <w:kern w:val="2"/>
          <w:sz w:val="24"/>
          <w14:ligatures w14:val="standardContextual"/>
        </w:rPr>
      </w:pPr>
      <w:r>
        <w:fldChar w:fldCharType="begin"/>
      </w:r>
      <w:r>
        <w:instrText xml:space="preserve"> TOC \h \z \c "Table" </w:instrText>
      </w:r>
      <w:r>
        <w:fldChar w:fldCharType="separate"/>
      </w:r>
      <w:hyperlink w:anchor="_Toc208941478" w:history="1">
        <w:r w:rsidR="009D1097" w:rsidRPr="00946789">
          <w:rPr>
            <w:rStyle w:val="Hyperlink"/>
            <w:noProof/>
          </w:rPr>
          <w:t>Table 1: Budget Calendar</w:t>
        </w:r>
        <w:r w:rsidR="009D1097">
          <w:rPr>
            <w:noProof/>
            <w:webHidden/>
          </w:rPr>
          <w:tab/>
        </w:r>
        <w:r w:rsidR="009D1097">
          <w:rPr>
            <w:noProof/>
            <w:webHidden/>
          </w:rPr>
          <w:fldChar w:fldCharType="begin"/>
        </w:r>
        <w:r w:rsidR="009D1097">
          <w:rPr>
            <w:noProof/>
            <w:webHidden/>
          </w:rPr>
          <w:instrText xml:space="preserve"> PAGEREF _Toc208941478 \h </w:instrText>
        </w:r>
        <w:r w:rsidR="009D1097">
          <w:rPr>
            <w:noProof/>
            <w:webHidden/>
          </w:rPr>
        </w:r>
        <w:r w:rsidR="009D1097">
          <w:rPr>
            <w:noProof/>
            <w:webHidden/>
          </w:rPr>
          <w:fldChar w:fldCharType="separate"/>
        </w:r>
        <w:r w:rsidR="00F60625">
          <w:rPr>
            <w:noProof/>
            <w:webHidden/>
          </w:rPr>
          <w:t>13</w:t>
        </w:r>
        <w:r w:rsidR="009D1097">
          <w:rPr>
            <w:noProof/>
            <w:webHidden/>
          </w:rPr>
          <w:fldChar w:fldCharType="end"/>
        </w:r>
      </w:hyperlink>
    </w:p>
    <w:p w14:paraId="1CB8611B" w14:textId="10D11099"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79" w:history="1">
        <w:r w:rsidR="009D1097" w:rsidRPr="00946789">
          <w:rPr>
            <w:rStyle w:val="Hyperlink"/>
            <w:noProof/>
          </w:rPr>
          <w:t>Table 2: Real GDP Growth - Selected Countries</w:t>
        </w:r>
        <w:r w:rsidR="009D1097">
          <w:rPr>
            <w:noProof/>
            <w:webHidden/>
          </w:rPr>
          <w:tab/>
        </w:r>
        <w:r w:rsidR="009D1097">
          <w:rPr>
            <w:noProof/>
            <w:webHidden/>
          </w:rPr>
          <w:fldChar w:fldCharType="begin"/>
        </w:r>
        <w:r w:rsidR="009D1097">
          <w:rPr>
            <w:noProof/>
            <w:webHidden/>
          </w:rPr>
          <w:instrText xml:space="preserve"> PAGEREF _Toc208941479 \h </w:instrText>
        </w:r>
        <w:r w:rsidR="009D1097">
          <w:rPr>
            <w:noProof/>
            <w:webHidden/>
          </w:rPr>
        </w:r>
        <w:r w:rsidR="009D1097">
          <w:rPr>
            <w:noProof/>
            <w:webHidden/>
          </w:rPr>
          <w:fldChar w:fldCharType="separate"/>
        </w:r>
        <w:r w:rsidR="00F60625">
          <w:rPr>
            <w:noProof/>
            <w:webHidden/>
          </w:rPr>
          <w:t>16</w:t>
        </w:r>
        <w:r w:rsidR="009D1097">
          <w:rPr>
            <w:noProof/>
            <w:webHidden/>
          </w:rPr>
          <w:fldChar w:fldCharType="end"/>
        </w:r>
      </w:hyperlink>
    </w:p>
    <w:p w14:paraId="68720965" w14:textId="3C974CBC"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80" w:history="1">
        <w:r w:rsidR="009D1097" w:rsidRPr="00946789">
          <w:rPr>
            <w:rStyle w:val="Hyperlink"/>
            <w:noProof/>
          </w:rPr>
          <w:t>Table 3: Inflation (CPI) - Selected Countries</w:t>
        </w:r>
        <w:r w:rsidR="009D1097">
          <w:rPr>
            <w:noProof/>
            <w:webHidden/>
          </w:rPr>
          <w:tab/>
        </w:r>
        <w:r w:rsidR="009D1097">
          <w:rPr>
            <w:noProof/>
            <w:webHidden/>
          </w:rPr>
          <w:fldChar w:fldCharType="begin"/>
        </w:r>
        <w:r w:rsidR="009D1097">
          <w:rPr>
            <w:noProof/>
            <w:webHidden/>
          </w:rPr>
          <w:instrText xml:space="preserve"> PAGEREF _Toc208941480 \h </w:instrText>
        </w:r>
        <w:r w:rsidR="009D1097">
          <w:rPr>
            <w:noProof/>
            <w:webHidden/>
          </w:rPr>
        </w:r>
        <w:r w:rsidR="009D1097">
          <w:rPr>
            <w:noProof/>
            <w:webHidden/>
          </w:rPr>
          <w:fldChar w:fldCharType="separate"/>
        </w:r>
        <w:r w:rsidR="00F60625">
          <w:rPr>
            <w:noProof/>
            <w:webHidden/>
          </w:rPr>
          <w:t>16</w:t>
        </w:r>
        <w:r w:rsidR="009D1097">
          <w:rPr>
            <w:noProof/>
            <w:webHidden/>
          </w:rPr>
          <w:fldChar w:fldCharType="end"/>
        </w:r>
      </w:hyperlink>
    </w:p>
    <w:p w14:paraId="79DF578E" w14:textId="0A7EC1FC"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81" w:history="1">
        <w:r w:rsidR="009D1097" w:rsidRPr="00946789">
          <w:rPr>
            <w:rStyle w:val="Hyperlink"/>
            <w:noProof/>
          </w:rPr>
          <w:t>Table 6: Sector Expenditure – Budget Vs Actual</w:t>
        </w:r>
        <w:r w:rsidR="009D1097">
          <w:rPr>
            <w:noProof/>
            <w:webHidden/>
          </w:rPr>
          <w:tab/>
        </w:r>
        <w:r w:rsidR="009D1097">
          <w:rPr>
            <w:noProof/>
            <w:webHidden/>
          </w:rPr>
          <w:fldChar w:fldCharType="begin"/>
        </w:r>
        <w:r w:rsidR="009D1097">
          <w:rPr>
            <w:noProof/>
            <w:webHidden/>
          </w:rPr>
          <w:instrText xml:space="preserve"> PAGEREF _Toc208941481 \h </w:instrText>
        </w:r>
        <w:r w:rsidR="009D1097">
          <w:rPr>
            <w:noProof/>
            <w:webHidden/>
          </w:rPr>
        </w:r>
        <w:r w:rsidR="009D1097">
          <w:rPr>
            <w:noProof/>
            <w:webHidden/>
          </w:rPr>
          <w:fldChar w:fldCharType="separate"/>
        </w:r>
        <w:r w:rsidR="00F60625">
          <w:rPr>
            <w:noProof/>
            <w:webHidden/>
          </w:rPr>
          <w:t>36</w:t>
        </w:r>
        <w:r w:rsidR="009D1097">
          <w:rPr>
            <w:noProof/>
            <w:webHidden/>
          </w:rPr>
          <w:fldChar w:fldCharType="end"/>
        </w:r>
      </w:hyperlink>
    </w:p>
    <w:p w14:paraId="082EEA0F" w14:textId="4B181B77"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82" w:history="1">
        <w:r w:rsidR="009D1097" w:rsidRPr="00946789">
          <w:rPr>
            <w:rStyle w:val="Hyperlink"/>
            <w:noProof/>
          </w:rPr>
          <w:t>Table 7: Debt Position as at 31st December 2025</w:t>
        </w:r>
        <w:r w:rsidR="009D1097">
          <w:rPr>
            <w:noProof/>
            <w:webHidden/>
          </w:rPr>
          <w:tab/>
        </w:r>
        <w:r w:rsidR="009D1097">
          <w:rPr>
            <w:noProof/>
            <w:webHidden/>
          </w:rPr>
          <w:fldChar w:fldCharType="begin"/>
        </w:r>
        <w:r w:rsidR="009D1097">
          <w:rPr>
            <w:noProof/>
            <w:webHidden/>
          </w:rPr>
          <w:instrText xml:space="preserve"> PAGEREF _Toc208941482 \h </w:instrText>
        </w:r>
        <w:r w:rsidR="009D1097">
          <w:rPr>
            <w:noProof/>
            <w:webHidden/>
          </w:rPr>
        </w:r>
        <w:r w:rsidR="009D1097">
          <w:rPr>
            <w:noProof/>
            <w:webHidden/>
          </w:rPr>
          <w:fldChar w:fldCharType="separate"/>
        </w:r>
        <w:r w:rsidR="00F60625">
          <w:rPr>
            <w:noProof/>
            <w:webHidden/>
          </w:rPr>
          <w:t>38</w:t>
        </w:r>
        <w:r w:rsidR="009D1097">
          <w:rPr>
            <w:noProof/>
            <w:webHidden/>
          </w:rPr>
          <w:fldChar w:fldCharType="end"/>
        </w:r>
      </w:hyperlink>
    </w:p>
    <w:p w14:paraId="0AD60483" w14:textId="681FC053"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83" w:history="1">
        <w:r w:rsidR="009D1097" w:rsidRPr="00946789">
          <w:rPr>
            <w:rStyle w:val="Hyperlink"/>
            <w:noProof/>
          </w:rPr>
          <w:t>Table 8: Benue State Medium Term Fiscal Framework</w:t>
        </w:r>
        <w:r w:rsidR="009D1097">
          <w:rPr>
            <w:noProof/>
            <w:webHidden/>
          </w:rPr>
          <w:tab/>
        </w:r>
        <w:r w:rsidR="009D1097">
          <w:rPr>
            <w:noProof/>
            <w:webHidden/>
          </w:rPr>
          <w:fldChar w:fldCharType="begin"/>
        </w:r>
        <w:r w:rsidR="009D1097">
          <w:rPr>
            <w:noProof/>
            <w:webHidden/>
          </w:rPr>
          <w:instrText xml:space="preserve"> PAGEREF _Toc208941483 \h </w:instrText>
        </w:r>
        <w:r w:rsidR="009D1097">
          <w:rPr>
            <w:noProof/>
            <w:webHidden/>
          </w:rPr>
        </w:r>
        <w:r w:rsidR="009D1097">
          <w:rPr>
            <w:noProof/>
            <w:webHidden/>
          </w:rPr>
          <w:fldChar w:fldCharType="separate"/>
        </w:r>
        <w:r w:rsidR="00F60625">
          <w:rPr>
            <w:noProof/>
            <w:webHidden/>
          </w:rPr>
          <w:t>42</w:t>
        </w:r>
        <w:r w:rsidR="009D1097">
          <w:rPr>
            <w:noProof/>
            <w:webHidden/>
          </w:rPr>
          <w:fldChar w:fldCharType="end"/>
        </w:r>
      </w:hyperlink>
    </w:p>
    <w:p w14:paraId="4F77DEDE" w14:textId="27F70F27"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84" w:history="1">
        <w:r w:rsidR="009D1097" w:rsidRPr="00946789">
          <w:rPr>
            <w:rStyle w:val="Hyperlink"/>
            <w:noProof/>
          </w:rPr>
          <w:t>Table 9: LG FAAC and IGR Estimates 2026 – 2028</w:t>
        </w:r>
        <w:r w:rsidR="009D1097">
          <w:rPr>
            <w:noProof/>
            <w:webHidden/>
          </w:rPr>
          <w:tab/>
        </w:r>
        <w:r w:rsidR="009D1097">
          <w:rPr>
            <w:noProof/>
            <w:webHidden/>
          </w:rPr>
          <w:fldChar w:fldCharType="begin"/>
        </w:r>
        <w:r w:rsidR="009D1097">
          <w:rPr>
            <w:noProof/>
            <w:webHidden/>
          </w:rPr>
          <w:instrText xml:space="preserve"> PAGEREF _Toc208941484 \h </w:instrText>
        </w:r>
        <w:r w:rsidR="009D1097">
          <w:rPr>
            <w:noProof/>
            <w:webHidden/>
          </w:rPr>
        </w:r>
        <w:r w:rsidR="009D1097">
          <w:rPr>
            <w:noProof/>
            <w:webHidden/>
          </w:rPr>
          <w:fldChar w:fldCharType="separate"/>
        </w:r>
        <w:r w:rsidR="00F60625">
          <w:rPr>
            <w:noProof/>
            <w:webHidden/>
          </w:rPr>
          <w:t>46</w:t>
        </w:r>
        <w:r w:rsidR="009D1097">
          <w:rPr>
            <w:noProof/>
            <w:webHidden/>
          </w:rPr>
          <w:fldChar w:fldCharType="end"/>
        </w:r>
      </w:hyperlink>
    </w:p>
    <w:p w14:paraId="44ADDD37" w14:textId="2AD982DF"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85" w:history="1">
        <w:r w:rsidR="009D1097" w:rsidRPr="00946789">
          <w:rPr>
            <w:rStyle w:val="Hyperlink"/>
            <w:noProof/>
          </w:rPr>
          <w:t>Table 10: Fiscal Risks</w:t>
        </w:r>
        <w:r w:rsidR="009D1097">
          <w:rPr>
            <w:noProof/>
            <w:webHidden/>
          </w:rPr>
          <w:tab/>
        </w:r>
        <w:r w:rsidR="009D1097">
          <w:rPr>
            <w:noProof/>
            <w:webHidden/>
          </w:rPr>
          <w:fldChar w:fldCharType="begin"/>
        </w:r>
        <w:r w:rsidR="009D1097">
          <w:rPr>
            <w:noProof/>
            <w:webHidden/>
          </w:rPr>
          <w:instrText xml:space="preserve"> PAGEREF _Toc208941485 \h </w:instrText>
        </w:r>
        <w:r w:rsidR="009D1097">
          <w:rPr>
            <w:noProof/>
            <w:webHidden/>
          </w:rPr>
        </w:r>
        <w:r w:rsidR="009D1097">
          <w:rPr>
            <w:noProof/>
            <w:webHidden/>
          </w:rPr>
          <w:fldChar w:fldCharType="separate"/>
        </w:r>
        <w:r w:rsidR="00F60625">
          <w:rPr>
            <w:noProof/>
            <w:webHidden/>
          </w:rPr>
          <w:t>47</w:t>
        </w:r>
        <w:r w:rsidR="009D1097">
          <w:rPr>
            <w:noProof/>
            <w:webHidden/>
          </w:rPr>
          <w:fldChar w:fldCharType="end"/>
        </w:r>
      </w:hyperlink>
    </w:p>
    <w:p w14:paraId="5D0C5667" w14:textId="0F59D3F1" w:rsidR="009D1097" w:rsidRDefault="001437B8">
      <w:pPr>
        <w:pStyle w:val="TableofFigures"/>
        <w:tabs>
          <w:tab w:val="right" w:leader="dot" w:pos="9628"/>
        </w:tabs>
        <w:rPr>
          <w:rFonts w:eastAsiaTheme="minorEastAsia" w:cstheme="minorBidi"/>
          <w:noProof/>
          <w:kern w:val="2"/>
          <w:sz w:val="24"/>
          <w14:ligatures w14:val="standardContextual"/>
        </w:rPr>
      </w:pPr>
      <w:hyperlink w:anchor="_Toc208941486" w:history="1">
        <w:r w:rsidR="009D1097" w:rsidRPr="00946789">
          <w:rPr>
            <w:rStyle w:val="Hyperlink"/>
            <w:noProof/>
          </w:rPr>
          <w:t>Table 11: Indicative Sector Expenditure Ceilings 2026-2028</w:t>
        </w:r>
        <w:r w:rsidR="009D1097">
          <w:rPr>
            <w:noProof/>
            <w:webHidden/>
          </w:rPr>
          <w:tab/>
        </w:r>
        <w:r w:rsidR="009D1097">
          <w:rPr>
            <w:noProof/>
            <w:webHidden/>
          </w:rPr>
          <w:fldChar w:fldCharType="begin"/>
        </w:r>
        <w:r w:rsidR="009D1097">
          <w:rPr>
            <w:noProof/>
            <w:webHidden/>
          </w:rPr>
          <w:instrText xml:space="preserve"> PAGEREF _Toc208941486 \h </w:instrText>
        </w:r>
        <w:r w:rsidR="009D1097">
          <w:rPr>
            <w:noProof/>
            <w:webHidden/>
          </w:rPr>
        </w:r>
        <w:r w:rsidR="009D1097">
          <w:rPr>
            <w:noProof/>
            <w:webHidden/>
          </w:rPr>
          <w:fldChar w:fldCharType="separate"/>
        </w:r>
        <w:r w:rsidR="00F60625">
          <w:rPr>
            <w:noProof/>
            <w:webHidden/>
          </w:rPr>
          <w:t>50</w:t>
        </w:r>
        <w:r w:rsidR="009D1097">
          <w:rPr>
            <w:noProof/>
            <w:webHidden/>
          </w:rPr>
          <w:fldChar w:fldCharType="end"/>
        </w:r>
      </w:hyperlink>
    </w:p>
    <w:p w14:paraId="73AEE424" w14:textId="3D5B9BF0" w:rsidR="00811E5F" w:rsidRDefault="00934A18" w:rsidP="001C7BED">
      <w:r>
        <w:fldChar w:fldCharType="end"/>
      </w:r>
      <w:r w:rsidR="00811E5F">
        <w:br w:type="page"/>
      </w:r>
    </w:p>
    <w:p w14:paraId="5AE4AF50" w14:textId="77777777" w:rsidR="00F13A3B" w:rsidRDefault="00811E5F" w:rsidP="00811E5F">
      <w:pPr>
        <w:spacing w:before="0" w:after="200" w:line="276" w:lineRule="auto"/>
        <w:jc w:val="center"/>
        <w:rPr>
          <w:b/>
          <w:color w:val="404040" w:themeColor="text1" w:themeTint="BF"/>
          <w:sz w:val="32"/>
          <w:szCs w:val="32"/>
        </w:rPr>
      </w:pPr>
      <w:r w:rsidRPr="00811E5F">
        <w:rPr>
          <w:b/>
          <w:color w:val="404040" w:themeColor="text1" w:themeTint="BF"/>
          <w:sz w:val="32"/>
          <w:szCs w:val="32"/>
        </w:rPr>
        <w:lastRenderedPageBreak/>
        <w:t>List of Abbreviations</w:t>
      </w:r>
    </w:p>
    <w:tbl>
      <w:tblPr>
        <w:tblW w:w="10004" w:type="dxa"/>
        <w:tblLook w:val="04A0" w:firstRow="1" w:lastRow="0" w:firstColumn="1" w:lastColumn="0" w:noHBand="0" w:noVBand="1"/>
      </w:tblPr>
      <w:tblGrid>
        <w:gridCol w:w="1276"/>
        <w:gridCol w:w="8728"/>
      </w:tblGrid>
      <w:tr w:rsidR="007C5443" w:rsidRPr="005C643C" w14:paraId="7BAD31FC" w14:textId="77777777" w:rsidTr="009A5BBD">
        <w:trPr>
          <w:trHeight w:val="300"/>
        </w:trPr>
        <w:tc>
          <w:tcPr>
            <w:tcW w:w="1276" w:type="dxa"/>
            <w:tcBorders>
              <w:top w:val="nil"/>
              <w:left w:val="nil"/>
              <w:bottom w:val="nil"/>
              <w:right w:val="nil"/>
            </w:tcBorders>
            <w:vAlign w:val="center"/>
            <w:hideMark/>
          </w:tcPr>
          <w:p w14:paraId="4D9CCCA6" w14:textId="77777777" w:rsidR="007C5443" w:rsidRPr="005C643C" w:rsidRDefault="007C5443" w:rsidP="009A5BBD">
            <w:pPr>
              <w:spacing w:before="0" w:after="0"/>
              <w:rPr>
                <w:rFonts w:ascii="Calibri" w:eastAsia="Times New Roman" w:hAnsi="Calibri" w:cs="Calibri"/>
                <w:color w:val="000000"/>
              </w:rPr>
            </w:pPr>
            <w:proofErr w:type="spellStart"/>
            <w:r w:rsidRPr="005C643C">
              <w:rPr>
                <w:rFonts w:ascii="Calibri" w:eastAsia="Times New Roman" w:hAnsi="Calibri" w:cs="Calibri"/>
                <w:color w:val="000000"/>
              </w:rPr>
              <w:t>AfDB</w:t>
            </w:r>
            <w:proofErr w:type="spellEnd"/>
          </w:p>
        </w:tc>
        <w:tc>
          <w:tcPr>
            <w:tcW w:w="8728" w:type="dxa"/>
            <w:tcBorders>
              <w:top w:val="nil"/>
              <w:left w:val="nil"/>
              <w:bottom w:val="nil"/>
              <w:right w:val="nil"/>
            </w:tcBorders>
            <w:vAlign w:val="center"/>
            <w:hideMark/>
          </w:tcPr>
          <w:p w14:paraId="1363EDF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African Development Bank</w:t>
            </w:r>
          </w:p>
        </w:tc>
      </w:tr>
      <w:tr w:rsidR="007C5443" w:rsidRPr="005C643C" w14:paraId="03CFCE5C" w14:textId="77777777" w:rsidTr="009A5BBD">
        <w:trPr>
          <w:trHeight w:val="300"/>
        </w:trPr>
        <w:tc>
          <w:tcPr>
            <w:tcW w:w="1276" w:type="dxa"/>
            <w:tcBorders>
              <w:top w:val="nil"/>
              <w:left w:val="nil"/>
              <w:bottom w:val="nil"/>
              <w:right w:val="nil"/>
            </w:tcBorders>
            <w:vAlign w:val="center"/>
            <w:hideMark/>
          </w:tcPr>
          <w:p w14:paraId="717FE765"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AFS</w:t>
            </w:r>
          </w:p>
        </w:tc>
        <w:tc>
          <w:tcPr>
            <w:tcW w:w="8728" w:type="dxa"/>
            <w:tcBorders>
              <w:top w:val="nil"/>
              <w:left w:val="nil"/>
              <w:bottom w:val="nil"/>
              <w:right w:val="nil"/>
            </w:tcBorders>
            <w:vAlign w:val="center"/>
            <w:hideMark/>
          </w:tcPr>
          <w:p w14:paraId="52DD032E"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Audited Financial Statement </w:t>
            </w:r>
          </w:p>
        </w:tc>
      </w:tr>
      <w:tr w:rsidR="007C5443" w:rsidRPr="005C643C" w14:paraId="0F1A6431" w14:textId="77777777" w:rsidTr="009A5BBD">
        <w:trPr>
          <w:trHeight w:val="300"/>
        </w:trPr>
        <w:tc>
          <w:tcPr>
            <w:tcW w:w="1276" w:type="dxa"/>
            <w:tcBorders>
              <w:top w:val="nil"/>
              <w:left w:val="nil"/>
              <w:bottom w:val="nil"/>
              <w:right w:val="nil"/>
            </w:tcBorders>
            <w:vAlign w:val="center"/>
            <w:hideMark/>
          </w:tcPr>
          <w:p w14:paraId="0FBC9E64" w14:textId="7838663F"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BIR</w:t>
            </w:r>
            <w:r w:rsidR="000F0C24">
              <w:rPr>
                <w:rFonts w:ascii="Calibri" w:eastAsia="Times New Roman" w:hAnsi="Calibri" w:cs="Calibri"/>
                <w:color w:val="000000"/>
              </w:rPr>
              <w:t>S</w:t>
            </w:r>
          </w:p>
        </w:tc>
        <w:tc>
          <w:tcPr>
            <w:tcW w:w="8728" w:type="dxa"/>
            <w:tcBorders>
              <w:top w:val="nil"/>
              <w:left w:val="nil"/>
              <w:bottom w:val="nil"/>
              <w:right w:val="nil"/>
            </w:tcBorders>
            <w:vAlign w:val="center"/>
            <w:hideMark/>
          </w:tcPr>
          <w:p w14:paraId="52151D85" w14:textId="02643E34"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B</w:t>
            </w:r>
            <w:r w:rsidR="000F0C24">
              <w:rPr>
                <w:rFonts w:ascii="Calibri" w:eastAsia="Times New Roman" w:hAnsi="Calibri" w:cs="Calibri"/>
                <w:color w:val="000000"/>
              </w:rPr>
              <w:t>enue State</w:t>
            </w:r>
            <w:r w:rsidRPr="005C643C">
              <w:rPr>
                <w:rFonts w:ascii="Calibri" w:eastAsia="Times New Roman" w:hAnsi="Calibri" w:cs="Calibri"/>
                <w:color w:val="000000"/>
              </w:rPr>
              <w:t xml:space="preserve"> Internal Revenue</w:t>
            </w:r>
            <w:r w:rsidR="000F0C24">
              <w:rPr>
                <w:rFonts w:ascii="Calibri" w:eastAsia="Times New Roman" w:hAnsi="Calibri" w:cs="Calibri"/>
                <w:color w:val="000000"/>
              </w:rPr>
              <w:t xml:space="preserve"> Service</w:t>
            </w:r>
            <w:r w:rsidRPr="005C643C">
              <w:rPr>
                <w:rFonts w:ascii="Calibri" w:eastAsia="Times New Roman" w:hAnsi="Calibri" w:cs="Calibri"/>
                <w:color w:val="000000"/>
              </w:rPr>
              <w:t xml:space="preserve"> </w:t>
            </w:r>
          </w:p>
        </w:tc>
      </w:tr>
      <w:tr w:rsidR="00306F6D" w:rsidRPr="005C643C" w14:paraId="17961D56" w14:textId="77777777" w:rsidTr="009A5BBD">
        <w:trPr>
          <w:trHeight w:val="300"/>
        </w:trPr>
        <w:tc>
          <w:tcPr>
            <w:tcW w:w="1276" w:type="dxa"/>
            <w:tcBorders>
              <w:top w:val="nil"/>
              <w:left w:val="nil"/>
              <w:bottom w:val="nil"/>
              <w:right w:val="nil"/>
            </w:tcBorders>
            <w:vAlign w:val="center"/>
          </w:tcPr>
          <w:p w14:paraId="18EE7A05" w14:textId="6DDBE991" w:rsidR="00306F6D" w:rsidRPr="005C643C" w:rsidRDefault="00306F6D" w:rsidP="009A5BBD">
            <w:pPr>
              <w:spacing w:before="0" w:after="0"/>
              <w:rPr>
                <w:rFonts w:ascii="Calibri" w:eastAsia="Times New Roman" w:hAnsi="Calibri" w:cs="Calibri"/>
                <w:color w:val="000000"/>
              </w:rPr>
            </w:pPr>
            <w:r>
              <w:rPr>
                <w:rFonts w:ascii="Calibri" w:eastAsia="Times New Roman" w:hAnsi="Calibri" w:cs="Calibri"/>
                <w:color w:val="000000"/>
              </w:rPr>
              <w:t>BNSG</w:t>
            </w:r>
          </w:p>
        </w:tc>
        <w:tc>
          <w:tcPr>
            <w:tcW w:w="8728" w:type="dxa"/>
            <w:tcBorders>
              <w:top w:val="nil"/>
              <w:left w:val="nil"/>
              <w:bottom w:val="nil"/>
              <w:right w:val="nil"/>
            </w:tcBorders>
            <w:vAlign w:val="center"/>
          </w:tcPr>
          <w:p w14:paraId="0FCBC6CB" w14:textId="78CE9E63" w:rsidR="00306F6D" w:rsidRPr="005C643C" w:rsidRDefault="00306F6D" w:rsidP="009A5BBD">
            <w:pPr>
              <w:spacing w:before="0" w:after="0"/>
              <w:rPr>
                <w:rFonts w:ascii="Calibri" w:eastAsia="Times New Roman" w:hAnsi="Calibri" w:cs="Calibri"/>
                <w:color w:val="000000"/>
              </w:rPr>
            </w:pPr>
            <w:r>
              <w:rPr>
                <w:rFonts w:ascii="Calibri" w:eastAsia="Times New Roman" w:hAnsi="Calibri" w:cs="Calibri"/>
                <w:color w:val="000000"/>
              </w:rPr>
              <w:t>Benue State Government</w:t>
            </w:r>
          </w:p>
        </w:tc>
      </w:tr>
      <w:tr w:rsidR="007C5443" w:rsidRPr="005C643C" w14:paraId="3AC7A4E3" w14:textId="77777777" w:rsidTr="009A5BBD">
        <w:trPr>
          <w:trHeight w:val="300"/>
        </w:trPr>
        <w:tc>
          <w:tcPr>
            <w:tcW w:w="1276" w:type="dxa"/>
            <w:tcBorders>
              <w:top w:val="nil"/>
              <w:left w:val="nil"/>
              <w:bottom w:val="nil"/>
              <w:right w:val="nil"/>
            </w:tcBorders>
            <w:vAlign w:val="center"/>
          </w:tcPr>
          <w:p w14:paraId="02825C5C"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BPS</w:t>
            </w:r>
          </w:p>
        </w:tc>
        <w:tc>
          <w:tcPr>
            <w:tcW w:w="8728" w:type="dxa"/>
            <w:tcBorders>
              <w:top w:val="nil"/>
              <w:left w:val="nil"/>
              <w:bottom w:val="nil"/>
              <w:right w:val="nil"/>
            </w:tcBorders>
            <w:vAlign w:val="center"/>
          </w:tcPr>
          <w:p w14:paraId="5E1DDD82"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Budget Policy Statement</w:t>
            </w:r>
          </w:p>
        </w:tc>
      </w:tr>
      <w:tr w:rsidR="007C5443" w:rsidRPr="005C643C" w14:paraId="6E2518D1" w14:textId="77777777" w:rsidTr="009A5BBD">
        <w:trPr>
          <w:trHeight w:val="300"/>
        </w:trPr>
        <w:tc>
          <w:tcPr>
            <w:tcW w:w="1276" w:type="dxa"/>
            <w:tcBorders>
              <w:top w:val="nil"/>
              <w:left w:val="nil"/>
              <w:bottom w:val="nil"/>
              <w:right w:val="nil"/>
            </w:tcBorders>
            <w:vAlign w:val="center"/>
            <w:hideMark/>
          </w:tcPr>
          <w:p w14:paraId="180D6F1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BRINCS</w:t>
            </w:r>
          </w:p>
        </w:tc>
        <w:tc>
          <w:tcPr>
            <w:tcW w:w="8728" w:type="dxa"/>
            <w:tcBorders>
              <w:top w:val="nil"/>
              <w:left w:val="nil"/>
              <w:bottom w:val="nil"/>
              <w:right w:val="nil"/>
            </w:tcBorders>
            <w:vAlign w:val="center"/>
            <w:hideMark/>
          </w:tcPr>
          <w:p w14:paraId="566B5191" w14:textId="7A2D572F" w:rsidR="000B6076"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Brazil, Russia, India, Nigeria, China, South Africa</w:t>
            </w:r>
          </w:p>
        </w:tc>
      </w:tr>
      <w:tr w:rsidR="007C5443" w:rsidRPr="005C643C" w14:paraId="5799B21C" w14:textId="77777777" w:rsidTr="009A5BBD">
        <w:trPr>
          <w:trHeight w:val="300"/>
        </w:trPr>
        <w:tc>
          <w:tcPr>
            <w:tcW w:w="1276" w:type="dxa"/>
            <w:tcBorders>
              <w:top w:val="nil"/>
              <w:left w:val="nil"/>
              <w:bottom w:val="nil"/>
              <w:right w:val="nil"/>
            </w:tcBorders>
            <w:vAlign w:val="center"/>
            <w:hideMark/>
          </w:tcPr>
          <w:p w14:paraId="4A86CE35" w14:textId="49309B0B" w:rsidR="000B6076" w:rsidRDefault="000B6076" w:rsidP="009A5BBD">
            <w:pPr>
              <w:spacing w:before="0" w:after="0"/>
              <w:rPr>
                <w:rFonts w:ascii="Calibri" w:eastAsia="Times New Roman" w:hAnsi="Calibri" w:cs="Calibri"/>
                <w:color w:val="000000"/>
              </w:rPr>
            </w:pPr>
            <w:r>
              <w:rPr>
                <w:rFonts w:ascii="Calibri" w:eastAsia="Times New Roman" w:hAnsi="Calibri" w:cs="Calibri"/>
                <w:color w:val="000000"/>
              </w:rPr>
              <w:t>BSBEPC</w:t>
            </w:r>
          </w:p>
          <w:p w14:paraId="2035EE68" w14:textId="1CB79975"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CBN</w:t>
            </w:r>
          </w:p>
        </w:tc>
        <w:tc>
          <w:tcPr>
            <w:tcW w:w="8728" w:type="dxa"/>
            <w:tcBorders>
              <w:top w:val="nil"/>
              <w:left w:val="nil"/>
              <w:bottom w:val="nil"/>
              <w:right w:val="nil"/>
            </w:tcBorders>
            <w:vAlign w:val="center"/>
            <w:hideMark/>
          </w:tcPr>
          <w:p w14:paraId="149F0ECA" w14:textId="5A5B432F" w:rsidR="007C5443" w:rsidRDefault="000B6076" w:rsidP="009A5BBD">
            <w:pPr>
              <w:spacing w:before="0" w:after="0"/>
              <w:rPr>
                <w:rFonts w:ascii="Calibri" w:eastAsia="Times New Roman" w:hAnsi="Calibri" w:cs="Calibri"/>
                <w:color w:val="000000"/>
              </w:rPr>
            </w:pPr>
            <w:r>
              <w:rPr>
                <w:rFonts w:ascii="Calibri" w:eastAsia="Times New Roman" w:hAnsi="Calibri" w:cs="Calibri"/>
                <w:color w:val="000000"/>
              </w:rPr>
              <w:t>Benue State Budget and Economic Planning Commission</w:t>
            </w:r>
          </w:p>
          <w:p w14:paraId="5007D596" w14:textId="5BDE9B48" w:rsidR="000B6076" w:rsidRPr="005C643C" w:rsidRDefault="000B6076" w:rsidP="009A5BBD">
            <w:pPr>
              <w:spacing w:before="0" w:after="0"/>
              <w:rPr>
                <w:rFonts w:ascii="Calibri" w:eastAsia="Times New Roman" w:hAnsi="Calibri" w:cs="Calibri"/>
                <w:color w:val="000000"/>
              </w:rPr>
            </w:pPr>
            <w:r>
              <w:rPr>
                <w:rFonts w:ascii="Calibri" w:eastAsia="Times New Roman" w:hAnsi="Calibri" w:cs="Calibri"/>
                <w:color w:val="000000"/>
              </w:rPr>
              <w:t>Central Bank of Nigeria</w:t>
            </w:r>
          </w:p>
        </w:tc>
      </w:tr>
      <w:tr w:rsidR="00DC697A" w:rsidRPr="005C643C" w14:paraId="49B9F645" w14:textId="77777777" w:rsidTr="009A5BBD">
        <w:trPr>
          <w:trHeight w:val="300"/>
        </w:trPr>
        <w:tc>
          <w:tcPr>
            <w:tcW w:w="1276" w:type="dxa"/>
            <w:tcBorders>
              <w:top w:val="nil"/>
              <w:left w:val="nil"/>
              <w:bottom w:val="nil"/>
              <w:right w:val="nil"/>
            </w:tcBorders>
            <w:vAlign w:val="center"/>
          </w:tcPr>
          <w:p w14:paraId="5A83612D" w14:textId="23EC1943" w:rsidR="00DC697A" w:rsidRPr="005C643C" w:rsidRDefault="00DC697A" w:rsidP="009A5BBD">
            <w:pPr>
              <w:spacing w:before="0" w:after="0"/>
              <w:rPr>
                <w:rFonts w:ascii="Calibri" w:eastAsia="Times New Roman" w:hAnsi="Calibri" w:cs="Calibri"/>
                <w:color w:val="000000"/>
              </w:rPr>
            </w:pPr>
            <w:r>
              <w:rPr>
                <w:rFonts w:ascii="Calibri" w:eastAsia="Times New Roman" w:hAnsi="Calibri" w:cs="Calibri"/>
                <w:color w:val="000000"/>
              </w:rPr>
              <w:t>C&amp;E</w:t>
            </w:r>
          </w:p>
        </w:tc>
        <w:tc>
          <w:tcPr>
            <w:tcW w:w="8728" w:type="dxa"/>
            <w:tcBorders>
              <w:top w:val="nil"/>
              <w:left w:val="nil"/>
              <w:bottom w:val="nil"/>
              <w:right w:val="nil"/>
            </w:tcBorders>
            <w:vAlign w:val="center"/>
          </w:tcPr>
          <w:p w14:paraId="7D33DD33" w14:textId="1E3284A2" w:rsidR="00DC697A" w:rsidRPr="005C643C" w:rsidRDefault="00DC697A" w:rsidP="009A5BBD">
            <w:pPr>
              <w:spacing w:before="0" w:after="0"/>
              <w:rPr>
                <w:rFonts w:ascii="Calibri" w:eastAsia="Times New Roman" w:hAnsi="Calibri" w:cs="Calibri"/>
                <w:color w:val="000000"/>
              </w:rPr>
            </w:pPr>
            <w:r>
              <w:rPr>
                <w:rFonts w:ascii="Calibri" w:eastAsia="Times New Roman" w:hAnsi="Calibri" w:cs="Calibri"/>
                <w:color w:val="000000"/>
              </w:rPr>
              <w:t>Custom</w:t>
            </w:r>
            <w:r w:rsidR="0044582A">
              <w:rPr>
                <w:rFonts w:ascii="Calibri" w:eastAsia="Times New Roman" w:hAnsi="Calibri" w:cs="Calibri"/>
                <w:color w:val="000000"/>
              </w:rPr>
              <w:t>s</w:t>
            </w:r>
            <w:r>
              <w:rPr>
                <w:rFonts w:ascii="Calibri" w:eastAsia="Times New Roman" w:hAnsi="Calibri" w:cs="Calibri"/>
                <w:color w:val="000000"/>
              </w:rPr>
              <w:t xml:space="preserve"> and Excise</w:t>
            </w:r>
          </w:p>
        </w:tc>
      </w:tr>
      <w:tr w:rsidR="007C5443" w:rsidRPr="005C643C" w14:paraId="0515B58C" w14:textId="77777777" w:rsidTr="009A5BBD">
        <w:trPr>
          <w:trHeight w:val="300"/>
        </w:trPr>
        <w:tc>
          <w:tcPr>
            <w:tcW w:w="1276" w:type="dxa"/>
            <w:tcBorders>
              <w:top w:val="nil"/>
              <w:left w:val="nil"/>
              <w:bottom w:val="nil"/>
              <w:right w:val="nil"/>
            </w:tcBorders>
            <w:vAlign w:val="center"/>
            <w:hideMark/>
          </w:tcPr>
          <w:p w14:paraId="3E52B51D"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CIT</w:t>
            </w:r>
          </w:p>
        </w:tc>
        <w:tc>
          <w:tcPr>
            <w:tcW w:w="8728" w:type="dxa"/>
            <w:tcBorders>
              <w:top w:val="nil"/>
              <w:left w:val="nil"/>
              <w:bottom w:val="nil"/>
              <w:right w:val="nil"/>
            </w:tcBorders>
            <w:vAlign w:val="center"/>
            <w:hideMark/>
          </w:tcPr>
          <w:p w14:paraId="05FAE45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Companies Income Tax</w:t>
            </w:r>
          </w:p>
        </w:tc>
      </w:tr>
      <w:tr w:rsidR="00F76881" w:rsidRPr="005C643C" w14:paraId="7E5E7FB4" w14:textId="77777777" w:rsidTr="009A5BBD">
        <w:trPr>
          <w:trHeight w:val="300"/>
        </w:trPr>
        <w:tc>
          <w:tcPr>
            <w:tcW w:w="1276" w:type="dxa"/>
            <w:tcBorders>
              <w:top w:val="nil"/>
              <w:left w:val="nil"/>
              <w:bottom w:val="nil"/>
              <w:right w:val="nil"/>
            </w:tcBorders>
            <w:vAlign w:val="center"/>
          </w:tcPr>
          <w:p w14:paraId="7594CE4E" w14:textId="6D4A5E94" w:rsidR="00F76881" w:rsidRPr="005C643C" w:rsidRDefault="00F76881" w:rsidP="009A5BBD">
            <w:pPr>
              <w:spacing w:before="0" w:after="0"/>
              <w:rPr>
                <w:rFonts w:ascii="Calibri" w:eastAsia="Times New Roman" w:hAnsi="Calibri" w:cs="Calibri"/>
                <w:color w:val="000000"/>
              </w:rPr>
            </w:pPr>
            <w:r>
              <w:rPr>
                <w:rFonts w:ascii="Calibri" w:eastAsia="Times New Roman" w:hAnsi="Calibri" w:cs="Calibri"/>
                <w:color w:val="000000"/>
              </w:rPr>
              <w:t>CPI</w:t>
            </w:r>
          </w:p>
        </w:tc>
        <w:tc>
          <w:tcPr>
            <w:tcW w:w="8728" w:type="dxa"/>
            <w:tcBorders>
              <w:top w:val="nil"/>
              <w:left w:val="nil"/>
              <w:bottom w:val="nil"/>
              <w:right w:val="nil"/>
            </w:tcBorders>
            <w:vAlign w:val="center"/>
          </w:tcPr>
          <w:p w14:paraId="68BB8EB4" w14:textId="15FFDE92" w:rsidR="00F76881" w:rsidRPr="005C643C" w:rsidRDefault="008F7496" w:rsidP="009A5BBD">
            <w:pPr>
              <w:spacing w:before="0" w:after="0"/>
              <w:rPr>
                <w:rFonts w:ascii="Calibri" w:eastAsia="Times New Roman" w:hAnsi="Calibri" w:cs="Calibri"/>
                <w:color w:val="000000"/>
              </w:rPr>
            </w:pPr>
            <w:r>
              <w:rPr>
                <w:rFonts w:ascii="Calibri" w:eastAsia="Times New Roman" w:hAnsi="Calibri" w:cs="Calibri"/>
                <w:color w:val="000000"/>
              </w:rPr>
              <w:t>Consumer</w:t>
            </w:r>
            <w:r w:rsidR="00F76881">
              <w:rPr>
                <w:rFonts w:ascii="Calibri" w:eastAsia="Times New Roman" w:hAnsi="Calibri" w:cs="Calibri"/>
                <w:color w:val="000000"/>
              </w:rPr>
              <w:t xml:space="preserve"> Price Index</w:t>
            </w:r>
          </w:p>
        </w:tc>
      </w:tr>
      <w:tr w:rsidR="007C5443" w:rsidRPr="005C643C" w14:paraId="4D8AC4DE" w14:textId="77777777" w:rsidTr="009A5BBD">
        <w:trPr>
          <w:trHeight w:val="300"/>
        </w:trPr>
        <w:tc>
          <w:tcPr>
            <w:tcW w:w="1276" w:type="dxa"/>
            <w:tcBorders>
              <w:top w:val="nil"/>
              <w:left w:val="nil"/>
              <w:bottom w:val="nil"/>
              <w:right w:val="nil"/>
            </w:tcBorders>
            <w:vAlign w:val="center"/>
            <w:hideMark/>
          </w:tcPr>
          <w:p w14:paraId="09A66684"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CRF</w:t>
            </w:r>
          </w:p>
        </w:tc>
        <w:tc>
          <w:tcPr>
            <w:tcW w:w="8728" w:type="dxa"/>
            <w:tcBorders>
              <w:top w:val="nil"/>
              <w:left w:val="nil"/>
              <w:bottom w:val="nil"/>
              <w:right w:val="nil"/>
            </w:tcBorders>
            <w:vAlign w:val="center"/>
            <w:hideMark/>
          </w:tcPr>
          <w:p w14:paraId="4FB77EDD"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Consolidated Revenue Fund</w:t>
            </w:r>
          </w:p>
        </w:tc>
      </w:tr>
      <w:tr w:rsidR="007C5443" w:rsidRPr="005C643C" w14:paraId="04C52747" w14:textId="77777777" w:rsidTr="009A5BBD">
        <w:trPr>
          <w:trHeight w:val="300"/>
        </w:trPr>
        <w:tc>
          <w:tcPr>
            <w:tcW w:w="1276" w:type="dxa"/>
            <w:tcBorders>
              <w:top w:val="nil"/>
              <w:left w:val="nil"/>
              <w:bottom w:val="nil"/>
              <w:right w:val="nil"/>
            </w:tcBorders>
            <w:vAlign w:val="center"/>
            <w:hideMark/>
          </w:tcPr>
          <w:p w14:paraId="69A41E0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CSO</w:t>
            </w:r>
          </w:p>
        </w:tc>
        <w:tc>
          <w:tcPr>
            <w:tcW w:w="8728" w:type="dxa"/>
            <w:tcBorders>
              <w:top w:val="nil"/>
              <w:left w:val="nil"/>
              <w:bottom w:val="nil"/>
              <w:right w:val="nil"/>
            </w:tcBorders>
            <w:vAlign w:val="center"/>
            <w:hideMark/>
          </w:tcPr>
          <w:p w14:paraId="5820FE35"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Civil Society Organisations</w:t>
            </w:r>
          </w:p>
        </w:tc>
      </w:tr>
      <w:tr w:rsidR="007C5443" w:rsidRPr="005C643C" w14:paraId="4EF0C402" w14:textId="77777777" w:rsidTr="009A5BBD">
        <w:trPr>
          <w:trHeight w:val="300"/>
        </w:trPr>
        <w:tc>
          <w:tcPr>
            <w:tcW w:w="1276" w:type="dxa"/>
            <w:tcBorders>
              <w:top w:val="nil"/>
              <w:left w:val="nil"/>
              <w:bottom w:val="nil"/>
              <w:right w:val="nil"/>
            </w:tcBorders>
            <w:vAlign w:val="center"/>
            <w:hideMark/>
          </w:tcPr>
          <w:p w14:paraId="3C80EDB0" w14:textId="491BB272"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DM</w:t>
            </w:r>
            <w:r w:rsidR="00E94971">
              <w:rPr>
                <w:rFonts w:ascii="Calibri" w:eastAsia="Times New Roman" w:hAnsi="Calibri" w:cs="Calibri"/>
                <w:color w:val="000000"/>
              </w:rPr>
              <w:t>O</w:t>
            </w:r>
          </w:p>
        </w:tc>
        <w:tc>
          <w:tcPr>
            <w:tcW w:w="8728" w:type="dxa"/>
            <w:tcBorders>
              <w:top w:val="nil"/>
              <w:left w:val="nil"/>
              <w:bottom w:val="nil"/>
              <w:right w:val="nil"/>
            </w:tcBorders>
            <w:vAlign w:val="center"/>
            <w:hideMark/>
          </w:tcPr>
          <w:p w14:paraId="392B588C" w14:textId="2BC1D27E"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Debt Management </w:t>
            </w:r>
            <w:r w:rsidR="00866EAC">
              <w:rPr>
                <w:rFonts w:ascii="Calibri" w:eastAsia="Times New Roman" w:hAnsi="Calibri" w:cs="Calibri"/>
                <w:color w:val="000000"/>
              </w:rPr>
              <w:t>Office</w:t>
            </w:r>
            <w:r w:rsidR="00E94971">
              <w:rPr>
                <w:rFonts w:ascii="Calibri" w:eastAsia="Times New Roman" w:hAnsi="Calibri" w:cs="Calibri"/>
                <w:color w:val="000000"/>
              </w:rPr>
              <w:t xml:space="preserve"> (State)</w:t>
            </w:r>
          </w:p>
        </w:tc>
      </w:tr>
      <w:tr w:rsidR="007C5443" w:rsidRPr="005C643C" w14:paraId="1DC1BB94" w14:textId="77777777" w:rsidTr="009A5BBD">
        <w:trPr>
          <w:trHeight w:val="300"/>
        </w:trPr>
        <w:tc>
          <w:tcPr>
            <w:tcW w:w="1276" w:type="dxa"/>
            <w:tcBorders>
              <w:top w:val="nil"/>
              <w:left w:val="nil"/>
              <w:bottom w:val="nil"/>
              <w:right w:val="nil"/>
            </w:tcBorders>
            <w:vAlign w:val="center"/>
            <w:hideMark/>
          </w:tcPr>
          <w:p w14:paraId="059C4FB4"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DMO</w:t>
            </w:r>
          </w:p>
        </w:tc>
        <w:tc>
          <w:tcPr>
            <w:tcW w:w="8728" w:type="dxa"/>
            <w:tcBorders>
              <w:top w:val="nil"/>
              <w:left w:val="nil"/>
              <w:bottom w:val="nil"/>
              <w:right w:val="nil"/>
            </w:tcBorders>
            <w:vAlign w:val="center"/>
            <w:hideMark/>
          </w:tcPr>
          <w:p w14:paraId="58AA711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Debt Management Office (Federal)</w:t>
            </w:r>
          </w:p>
        </w:tc>
      </w:tr>
      <w:tr w:rsidR="00F91551" w:rsidRPr="005C643C" w14:paraId="74A76976" w14:textId="77777777" w:rsidTr="009A5BBD">
        <w:trPr>
          <w:trHeight w:val="300"/>
        </w:trPr>
        <w:tc>
          <w:tcPr>
            <w:tcW w:w="1276" w:type="dxa"/>
            <w:tcBorders>
              <w:top w:val="nil"/>
              <w:left w:val="nil"/>
              <w:bottom w:val="nil"/>
              <w:right w:val="nil"/>
            </w:tcBorders>
            <w:vAlign w:val="center"/>
          </w:tcPr>
          <w:p w14:paraId="6FCC9D48" w14:textId="6A94ECC6" w:rsidR="00F91551" w:rsidRPr="005C643C" w:rsidRDefault="00F91551" w:rsidP="009A5BBD">
            <w:pPr>
              <w:spacing w:before="0" w:after="0"/>
              <w:rPr>
                <w:rFonts w:ascii="Calibri" w:eastAsia="Times New Roman" w:hAnsi="Calibri" w:cs="Calibri"/>
                <w:color w:val="000000"/>
              </w:rPr>
            </w:pPr>
            <w:r>
              <w:rPr>
                <w:rFonts w:ascii="Calibri" w:eastAsia="Times New Roman" w:hAnsi="Calibri" w:cs="Calibri"/>
                <w:color w:val="000000"/>
              </w:rPr>
              <w:t>DSA</w:t>
            </w:r>
          </w:p>
        </w:tc>
        <w:tc>
          <w:tcPr>
            <w:tcW w:w="8728" w:type="dxa"/>
            <w:tcBorders>
              <w:top w:val="nil"/>
              <w:left w:val="nil"/>
              <w:bottom w:val="nil"/>
              <w:right w:val="nil"/>
            </w:tcBorders>
            <w:vAlign w:val="center"/>
          </w:tcPr>
          <w:p w14:paraId="17BACF17" w14:textId="569F90AA" w:rsidR="00F91551" w:rsidRPr="005C643C" w:rsidRDefault="00F91551" w:rsidP="009A5BBD">
            <w:pPr>
              <w:spacing w:before="0" w:after="0"/>
              <w:rPr>
                <w:rFonts w:ascii="Calibri" w:eastAsia="Times New Roman" w:hAnsi="Calibri" w:cs="Calibri"/>
                <w:color w:val="000000"/>
              </w:rPr>
            </w:pPr>
            <w:r>
              <w:rPr>
                <w:rFonts w:ascii="Calibri" w:eastAsia="Times New Roman" w:hAnsi="Calibri" w:cs="Calibri"/>
                <w:color w:val="000000"/>
              </w:rPr>
              <w:t>Debt Sustainability Analysis</w:t>
            </w:r>
          </w:p>
        </w:tc>
      </w:tr>
      <w:tr w:rsidR="007C5443" w:rsidRPr="005C643C" w14:paraId="3F4063CF" w14:textId="77777777" w:rsidTr="009A5BBD">
        <w:trPr>
          <w:trHeight w:val="300"/>
        </w:trPr>
        <w:tc>
          <w:tcPr>
            <w:tcW w:w="1276" w:type="dxa"/>
            <w:tcBorders>
              <w:top w:val="nil"/>
              <w:left w:val="nil"/>
              <w:bottom w:val="nil"/>
              <w:right w:val="nil"/>
            </w:tcBorders>
            <w:vAlign w:val="center"/>
          </w:tcPr>
          <w:p w14:paraId="2C45DB08"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DPR</w:t>
            </w:r>
          </w:p>
        </w:tc>
        <w:tc>
          <w:tcPr>
            <w:tcW w:w="8728" w:type="dxa"/>
            <w:tcBorders>
              <w:top w:val="nil"/>
              <w:left w:val="nil"/>
              <w:bottom w:val="nil"/>
              <w:right w:val="nil"/>
            </w:tcBorders>
            <w:vAlign w:val="center"/>
          </w:tcPr>
          <w:p w14:paraId="0EF09993"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Department of Petroleum Resources</w:t>
            </w:r>
          </w:p>
        </w:tc>
      </w:tr>
      <w:tr w:rsidR="007C5443" w:rsidRPr="005C643C" w14:paraId="49764E4E" w14:textId="77777777" w:rsidTr="009A5BBD">
        <w:trPr>
          <w:trHeight w:val="300"/>
        </w:trPr>
        <w:tc>
          <w:tcPr>
            <w:tcW w:w="1276" w:type="dxa"/>
            <w:tcBorders>
              <w:top w:val="nil"/>
              <w:left w:val="nil"/>
              <w:bottom w:val="nil"/>
              <w:right w:val="nil"/>
            </w:tcBorders>
            <w:vAlign w:val="center"/>
            <w:hideMark/>
          </w:tcPr>
          <w:p w14:paraId="0BB8D48C"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EFU</w:t>
            </w:r>
          </w:p>
        </w:tc>
        <w:tc>
          <w:tcPr>
            <w:tcW w:w="8728" w:type="dxa"/>
            <w:tcBorders>
              <w:top w:val="nil"/>
              <w:left w:val="nil"/>
              <w:bottom w:val="nil"/>
              <w:right w:val="nil"/>
            </w:tcBorders>
            <w:vAlign w:val="center"/>
            <w:hideMark/>
          </w:tcPr>
          <w:p w14:paraId="4CBEA96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Economic and Fiscal Update</w:t>
            </w:r>
          </w:p>
        </w:tc>
      </w:tr>
      <w:tr w:rsidR="007C5443" w:rsidRPr="005C643C" w14:paraId="72C063FF" w14:textId="77777777" w:rsidTr="009A5BBD">
        <w:trPr>
          <w:trHeight w:val="300"/>
        </w:trPr>
        <w:tc>
          <w:tcPr>
            <w:tcW w:w="1276" w:type="dxa"/>
            <w:tcBorders>
              <w:top w:val="nil"/>
              <w:left w:val="nil"/>
              <w:bottom w:val="nil"/>
              <w:right w:val="nil"/>
            </w:tcBorders>
            <w:vAlign w:val="center"/>
            <w:hideMark/>
          </w:tcPr>
          <w:p w14:paraId="5AA6D76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EIA</w:t>
            </w:r>
          </w:p>
        </w:tc>
        <w:tc>
          <w:tcPr>
            <w:tcW w:w="8728" w:type="dxa"/>
            <w:tcBorders>
              <w:top w:val="nil"/>
              <w:left w:val="nil"/>
              <w:bottom w:val="nil"/>
              <w:right w:val="nil"/>
            </w:tcBorders>
            <w:vAlign w:val="center"/>
            <w:hideMark/>
          </w:tcPr>
          <w:p w14:paraId="4DA29F2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US Energy Information Administration </w:t>
            </w:r>
          </w:p>
        </w:tc>
      </w:tr>
      <w:tr w:rsidR="007C5443" w:rsidRPr="005C643C" w14:paraId="355003A9" w14:textId="77777777" w:rsidTr="009A5BBD">
        <w:trPr>
          <w:trHeight w:val="300"/>
        </w:trPr>
        <w:tc>
          <w:tcPr>
            <w:tcW w:w="1276" w:type="dxa"/>
            <w:tcBorders>
              <w:top w:val="nil"/>
              <w:left w:val="nil"/>
              <w:bottom w:val="nil"/>
              <w:right w:val="nil"/>
            </w:tcBorders>
            <w:vAlign w:val="center"/>
            <w:hideMark/>
          </w:tcPr>
          <w:p w14:paraId="345551EF" w14:textId="77777777" w:rsidR="007C5443" w:rsidRPr="005C643C" w:rsidRDefault="007C5443" w:rsidP="009A5BBD">
            <w:pPr>
              <w:spacing w:before="0" w:after="0"/>
              <w:rPr>
                <w:rFonts w:ascii="Calibri" w:eastAsia="Times New Roman" w:hAnsi="Calibri" w:cs="Calibri"/>
                <w:color w:val="000000"/>
              </w:rPr>
            </w:pPr>
            <w:proofErr w:type="spellStart"/>
            <w:r w:rsidRPr="005C643C">
              <w:rPr>
                <w:rFonts w:ascii="Calibri" w:eastAsia="Times New Roman" w:hAnsi="Calibri" w:cs="Calibri"/>
                <w:color w:val="000000"/>
              </w:rPr>
              <w:t>ExCo</w:t>
            </w:r>
            <w:proofErr w:type="spellEnd"/>
          </w:p>
        </w:tc>
        <w:tc>
          <w:tcPr>
            <w:tcW w:w="8728" w:type="dxa"/>
            <w:tcBorders>
              <w:top w:val="nil"/>
              <w:left w:val="nil"/>
              <w:bottom w:val="nil"/>
              <w:right w:val="nil"/>
            </w:tcBorders>
            <w:vAlign w:val="center"/>
            <w:hideMark/>
          </w:tcPr>
          <w:p w14:paraId="483506B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Executive Council</w:t>
            </w:r>
          </w:p>
        </w:tc>
      </w:tr>
      <w:tr w:rsidR="007C5443" w:rsidRPr="005C643C" w14:paraId="5073E518" w14:textId="77777777" w:rsidTr="009A5BBD">
        <w:trPr>
          <w:trHeight w:val="300"/>
        </w:trPr>
        <w:tc>
          <w:tcPr>
            <w:tcW w:w="1276" w:type="dxa"/>
            <w:tcBorders>
              <w:top w:val="nil"/>
              <w:left w:val="nil"/>
              <w:bottom w:val="nil"/>
              <w:right w:val="nil"/>
            </w:tcBorders>
            <w:vAlign w:val="center"/>
            <w:hideMark/>
          </w:tcPr>
          <w:p w14:paraId="59A9280F"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FAAC</w:t>
            </w:r>
          </w:p>
        </w:tc>
        <w:tc>
          <w:tcPr>
            <w:tcW w:w="8728" w:type="dxa"/>
            <w:tcBorders>
              <w:top w:val="nil"/>
              <w:left w:val="nil"/>
              <w:bottom w:val="nil"/>
              <w:right w:val="nil"/>
            </w:tcBorders>
            <w:vAlign w:val="center"/>
            <w:hideMark/>
          </w:tcPr>
          <w:p w14:paraId="4972B41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Federal Allocation Accounts Committee</w:t>
            </w:r>
          </w:p>
        </w:tc>
      </w:tr>
      <w:tr w:rsidR="007C5443" w:rsidRPr="005C643C" w14:paraId="5D3C8631" w14:textId="77777777" w:rsidTr="009A5BBD">
        <w:trPr>
          <w:trHeight w:val="300"/>
        </w:trPr>
        <w:tc>
          <w:tcPr>
            <w:tcW w:w="1276" w:type="dxa"/>
            <w:tcBorders>
              <w:top w:val="nil"/>
              <w:left w:val="nil"/>
              <w:bottom w:val="nil"/>
              <w:right w:val="nil"/>
            </w:tcBorders>
            <w:vAlign w:val="center"/>
            <w:hideMark/>
          </w:tcPr>
          <w:p w14:paraId="31513D0E"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FGN</w:t>
            </w:r>
          </w:p>
        </w:tc>
        <w:tc>
          <w:tcPr>
            <w:tcW w:w="8728" w:type="dxa"/>
            <w:tcBorders>
              <w:top w:val="nil"/>
              <w:left w:val="nil"/>
              <w:bottom w:val="nil"/>
              <w:right w:val="nil"/>
            </w:tcBorders>
            <w:vAlign w:val="center"/>
            <w:hideMark/>
          </w:tcPr>
          <w:p w14:paraId="14A01B1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Federal Government of Nigeria</w:t>
            </w:r>
          </w:p>
        </w:tc>
      </w:tr>
      <w:tr w:rsidR="007C5443" w:rsidRPr="005C643C" w14:paraId="457E3534" w14:textId="77777777" w:rsidTr="009A5BBD">
        <w:trPr>
          <w:trHeight w:val="300"/>
        </w:trPr>
        <w:tc>
          <w:tcPr>
            <w:tcW w:w="1276" w:type="dxa"/>
            <w:tcBorders>
              <w:top w:val="nil"/>
              <w:left w:val="nil"/>
              <w:bottom w:val="nil"/>
              <w:right w:val="nil"/>
            </w:tcBorders>
            <w:vAlign w:val="center"/>
            <w:hideMark/>
          </w:tcPr>
          <w:p w14:paraId="75F4E62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FIRS</w:t>
            </w:r>
          </w:p>
        </w:tc>
        <w:tc>
          <w:tcPr>
            <w:tcW w:w="8728" w:type="dxa"/>
            <w:tcBorders>
              <w:top w:val="nil"/>
              <w:left w:val="nil"/>
              <w:bottom w:val="nil"/>
              <w:right w:val="nil"/>
            </w:tcBorders>
            <w:vAlign w:val="center"/>
            <w:hideMark/>
          </w:tcPr>
          <w:p w14:paraId="4F2E7CFF"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Federal Inland Revenue Service</w:t>
            </w:r>
          </w:p>
        </w:tc>
      </w:tr>
      <w:tr w:rsidR="007C5443" w:rsidRPr="005C643C" w14:paraId="28D07CE6" w14:textId="77777777" w:rsidTr="009A5BBD">
        <w:trPr>
          <w:trHeight w:val="300"/>
        </w:trPr>
        <w:tc>
          <w:tcPr>
            <w:tcW w:w="1276" w:type="dxa"/>
            <w:tcBorders>
              <w:top w:val="nil"/>
              <w:left w:val="nil"/>
              <w:bottom w:val="nil"/>
              <w:right w:val="nil"/>
            </w:tcBorders>
            <w:vAlign w:val="center"/>
            <w:hideMark/>
          </w:tcPr>
          <w:p w14:paraId="15CBDB5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FRL</w:t>
            </w:r>
          </w:p>
        </w:tc>
        <w:tc>
          <w:tcPr>
            <w:tcW w:w="8728" w:type="dxa"/>
            <w:tcBorders>
              <w:top w:val="nil"/>
              <w:left w:val="nil"/>
              <w:bottom w:val="nil"/>
              <w:right w:val="nil"/>
            </w:tcBorders>
            <w:vAlign w:val="center"/>
            <w:hideMark/>
          </w:tcPr>
          <w:p w14:paraId="48A97A95"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Fiscal Responsibility Law</w:t>
            </w:r>
          </w:p>
        </w:tc>
      </w:tr>
      <w:tr w:rsidR="007C5443" w:rsidRPr="005C643C" w14:paraId="1868A322" w14:textId="77777777" w:rsidTr="009A5BBD">
        <w:trPr>
          <w:trHeight w:val="300"/>
        </w:trPr>
        <w:tc>
          <w:tcPr>
            <w:tcW w:w="1276" w:type="dxa"/>
            <w:tcBorders>
              <w:top w:val="nil"/>
              <w:left w:val="nil"/>
              <w:bottom w:val="nil"/>
              <w:right w:val="nil"/>
            </w:tcBorders>
            <w:vAlign w:val="center"/>
            <w:hideMark/>
          </w:tcPr>
          <w:p w14:paraId="6154441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FSP</w:t>
            </w:r>
          </w:p>
        </w:tc>
        <w:tc>
          <w:tcPr>
            <w:tcW w:w="8728" w:type="dxa"/>
            <w:tcBorders>
              <w:top w:val="nil"/>
              <w:left w:val="nil"/>
              <w:bottom w:val="nil"/>
              <w:right w:val="nil"/>
            </w:tcBorders>
            <w:vAlign w:val="center"/>
            <w:hideMark/>
          </w:tcPr>
          <w:p w14:paraId="78C42912"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Fiscal Strategy Paper</w:t>
            </w:r>
          </w:p>
        </w:tc>
      </w:tr>
      <w:tr w:rsidR="007C5443" w:rsidRPr="005C643C" w14:paraId="63F4AB06" w14:textId="77777777" w:rsidTr="009A5BBD">
        <w:trPr>
          <w:trHeight w:val="300"/>
        </w:trPr>
        <w:tc>
          <w:tcPr>
            <w:tcW w:w="1276" w:type="dxa"/>
            <w:tcBorders>
              <w:top w:val="nil"/>
              <w:left w:val="nil"/>
              <w:bottom w:val="nil"/>
              <w:right w:val="nil"/>
            </w:tcBorders>
            <w:vAlign w:val="center"/>
          </w:tcPr>
          <w:p w14:paraId="0147121E"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FX</w:t>
            </w:r>
          </w:p>
        </w:tc>
        <w:tc>
          <w:tcPr>
            <w:tcW w:w="8728" w:type="dxa"/>
            <w:tcBorders>
              <w:top w:val="nil"/>
              <w:left w:val="nil"/>
              <w:bottom w:val="nil"/>
              <w:right w:val="nil"/>
            </w:tcBorders>
            <w:vAlign w:val="center"/>
          </w:tcPr>
          <w:p w14:paraId="1E8EB64F"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Foreign Exchange</w:t>
            </w:r>
          </w:p>
        </w:tc>
      </w:tr>
      <w:tr w:rsidR="007C5443" w:rsidRPr="005C643C" w14:paraId="42FC8256" w14:textId="77777777" w:rsidTr="009A5BBD">
        <w:trPr>
          <w:trHeight w:val="300"/>
        </w:trPr>
        <w:tc>
          <w:tcPr>
            <w:tcW w:w="1276" w:type="dxa"/>
            <w:tcBorders>
              <w:top w:val="nil"/>
              <w:left w:val="nil"/>
              <w:bottom w:val="nil"/>
              <w:right w:val="nil"/>
            </w:tcBorders>
            <w:noWrap/>
            <w:vAlign w:val="center"/>
            <w:hideMark/>
          </w:tcPr>
          <w:p w14:paraId="3C51DE9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G11</w:t>
            </w:r>
          </w:p>
        </w:tc>
        <w:tc>
          <w:tcPr>
            <w:tcW w:w="8728" w:type="dxa"/>
            <w:tcBorders>
              <w:top w:val="nil"/>
              <w:left w:val="nil"/>
              <w:bottom w:val="nil"/>
              <w:right w:val="nil"/>
            </w:tcBorders>
            <w:noWrap/>
            <w:vAlign w:val="center"/>
            <w:hideMark/>
          </w:tcPr>
          <w:p w14:paraId="2BD5C53D" w14:textId="77777777" w:rsidR="007C5443" w:rsidRPr="005C643C" w:rsidRDefault="007C5443" w:rsidP="009A5BBD">
            <w:pPr>
              <w:spacing w:before="0" w:after="0"/>
              <w:jc w:val="left"/>
              <w:rPr>
                <w:rFonts w:ascii="Calibri" w:eastAsia="Times New Roman" w:hAnsi="Calibri" w:cs="Calibri"/>
                <w:color w:val="000000"/>
              </w:rPr>
            </w:pPr>
            <w:r w:rsidRPr="005C643C">
              <w:rPr>
                <w:rFonts w:ascii="Calibri" w:eastAsia="Times New Roman" w:hAnsi="Calibri" w:cs="Calibri"/>
                <w:color w:val="000000"/>
              </w:rPr>
              <w:t>A group of eleven countries - specifically Bangladesh, Egypt, Indonesia, Iran, Mexico, Nigeria, Pakistan, the Philippines, Turkey, South Korea, and Vietnam</w:t>
            </w:r>
          </w:p>
        </w:tc>
      </w:tr>
      <w:tr w:rsidR="007C5443" w:rsidRPr="005C643C" w14:paraId="24731456" w14:textId="77777777" w:rsidTr="009A5BBD">
        <w:trPr>
          <w:trHeight w:val="300"/>
        </w:trPr>
        <w:tc>
          <w:tcPr>
            <w:tcW w:w="1276" w:type="dxa"/>
            <w:tcBorders>
              <w:top w:val="nil"/>
              <w:left w:val="nil"/>
              <w:bottom w:val="nil"/>
              <w:right w:val="nil"/>
            </w:tcBorders>
            <w:noWrap/>
            <w:vAlign w:val="center"/>
            <w:hideMark/>
          </w:tcPr>
          <w:p w14:paraId="6C20FA87"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G20</w:t>
            </w:r>
          </w:p>
        </w:tc>
        <w:tc>
          <w:tcPr>
            <w:tcW w:w="8728" w:type="dxa"/>
            <w:tcBorders>
              <w:top w:val="nil"/>
              <w:left w:val="nil"/>
              <w:bottom w:val="nil"/>
              <w:right w:val="nil"/>
            </w:tcBorders>
            <w:noWrap/>
            <w:vAlign w:val="center"/>
            <w:hideMark/>
          </w:tcPr>
          <w:p w14:paraId="4837EC5A" w14:textId="1BBAEAAE" w:rsidR="007C5443" w:rsidRPr="005C643C" w:rsidRDefault="007C5443" w:rsidP="009A5BBD">
            <w:pPr>
              <w:spacing w:before="0" w:after="0"/>
              <w:jc w:val="left"/>
              <w:rPr>
                <w:rFonts w:ascii="Calibri" w:eastAsia="Times New Roman" w:hAnsi="Calibri" w:cs="Calibri"/>
                <w:color w:val="000000"/>
              </w:rPr>
            </w:pPr>
            <w:r w:rsidRPr="005C643C">
              <w:rPr>
                <w:rFonts w:ascii="Calibri" w:eastAsia="Times New Roman" w:hAnsi="Calibri" w:cs="Calibri"/>
                <w:color w:val="000000"/>
              </w:rPr>
              <w:t xml:space="preserve">A group of 20 countries: Argentina, Australia, Brazil, Canada, China, France, Germany, India, Indonesia, Italy, Japan, </w:t>
            </w:r>
            <w:r w:rsidR="0044582A">
              <w:rPr>
                <w:rFonts w:ascii="Calibri" w:eastAsia="Times New Roman" w:hAnsi="Calibri" w:cs="Calibri"/>
                <w:color w:val="000000"/>
              </w:rPr>
              <w:t xml:space="preserve">the </w:t>
            </w:r>
            <w:r w:rsidRPr="005C643C">
              <w:rPr>
                <w:rFonts w:ascii="Calibri" w:eastAsia="Times New Roman" w:hAnsi="Calibri" w:cs="Calibri"/>
                <w:color w:val="000000"/>
              </w:rPr>
              <w:t xml:space="preserve">Republic of Korea, Mexico, Russia, Saudi Arabia, South Africa, Turkey, </w:t>
            </w:r>
            <w:r w:rsidR="0044582A">
              <w:rPr>
                <w:rFonts w:ascii="Calibri" w:eastAsia="Times New Roman" w:hAnsi="Calibri" w:cs="Calibri"/>
                <w:color w:val="000000"/>
              </w:rPr>
              <w:t xml:space="preserve">the </w:t>
            </w:r>
            <w:r w:rsidRPr="005C643C">
              <w:rPr>
                <w:rFonts w:ascii="Calibri" w:eastAsia="Times New Roman" w:hAnsi="Calibri" w:cs="Calibri"/>
                <w:color w:val="000000"/>
              </w:rPr>
              <w:t xml:space="preserve">United Kingdom, </w:t>
            </w:r>
            <w:r w:rsidR="0044582A">
              <w:rPr>
                <w:rFonts w:ascii="Calibri" w:eastAsia="Times New Roman" w:hAnsi="Calibri" w:cs="Calibri"/>
                <w:color w:val="000000"/>
              </w:rPr>
              <w:t xml:space="preserve">the </w:t>
            </w:r>
            <w:r w:rsidRPr="005C643C">
              <w:rPr>
                <w:rFonts w:ascii="Calibri" w:eastAsia="Times New Roman" w:hAnsi="Calibri" w:cs="Calibri"/>
                <w:color w:val="000000"/>
              </w:rPr>
              <w:t>United States, and the European Union.</w:t>
            </w:r>
          </w:p>
        </w:tc>
      </w:tr>
      <w:tr w:rsidR="007C5443" w:rsidRPr="005C643C" w14:paraId="74FA2537" w14:textId="77777777" w:rsidTr="009A5BBD">
        <w:trPr>
          <w:trHeight w:val="300"/>
        </w:trPr>
        <w:tc>
          <w:tcPr>
            <w:tcW w:w="1276" w:type="dxa"/>
            <w:tcBorders>
              <w:top w:val="nil"/>
              <w:left w:val="nil"/>
              <w:bottom w:val="nil"/>
              <w:right w:val="nil"/>
            </w:tcBorders>
            <w:vAlign w:val="center"/>
            <w:hideMark/>
          </w:tcPr>
          <w:p w14:paraId="6DDFE05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GDP</w:t>
            </w:r>
          </w:p>
        </w:tc>
        <w:tc>
          <w:tcPr>
            <w:tcW w:w="8728" w:type="dxa"/>
            <w:tcBorders>
              <w:top w:val="nil"/>
              <w:left w:val="nil"/>
              <w:bottom w:val="nil"/>
              <w:right w:val="nil"/>
            </w:tcBorders>
            <w:vAlign w:val="center"/>
            <w:hideMark/>
          </w:tcPr>
          <w:p w14:paraId="40AE2CD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Gross Domestic Product</w:t>
            </w:r>
          </w:p>
        </w:tc>
      </w:tr>
      <w:tr w:rsidR="007C5443" w:rsidRPr="005C643C" w14:paraId="148A7B8A" w14:textId="77777777" w:rsidTr="009A5BBD">
        <w:trPr>
          <w:trHeight w:val="300"/>
        </w:trPr>
        <w:tc>
          <w:tcPr>
            <w:tcW w:w="1276" w:type="dxa"/>
            <w:tcBorders>
              <w:top w:val="nil"/>
              <w:left w:val="nil"/>
              <w:bottom w:val="nil"/>
              <w:right w:val="nil"/>
            </w:tcBorders>
            <w:vAlign w:val="center"/>
            <w:hideMark/>
          </w:tcPr>
          <w:p w14:paraId="3B72A04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GOEs</w:t>
            </w:r>
          </w:p>
        </w:tc>
        <w:tc>
          <w:tcPr>
            <w:tcW w:w="8728" w:type="dxa"/>
            <w:tcBorders>
              <w:top w:val="nil"/>
              <w:left w:val="nil"/>
              <w:bottom w:val="nil"/>
              <w:right w:val="nil"/>
            </w:tcBorders>
            <w:vAlign w:val="center"/>
            <w:hideMark/>
          </w:tcPr>
          <w:p w14:paraId="377B697C"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Government Owned Entities</w:t>
            </w:r>
          </w:p>
        </w:tc>
      </w:tr>
      <w:tr w:rsidR="007C5443" w:rsidRPr="005C643C" w14:paraId="57E6B3CF" w14:textId="77777777" w:rsidTr="009A5BBD">
        <w:trPr>
          <w:trHeight w:val="300"/>
        </w:trPr>
        <w:tc>
          <w:tcPr>
            <w:tcW w:w="1276" w:type="dxa"/>
            <w:tcBorders>
              <w:top w:val="nil"/>
              <w:left w:val="nil"/>
              <w:bottom w:val="nil"/>
              <w:right w:val="nil"/>
            </w:tcBorders>
            <w:vAlign w:val="center"/>
            <w:hideMark/>
          </w:tcPr>
          <w:p w14:paraId="7E21EE25"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IGR</w:t>
            </w:r>
          </w:p>
        </w:tc>
        <w:tc>
          <w:tcPr>
            <w:tcW w:w="8728" w:type="dxa"/>
            <w:tcBorders>
              <w:top w:val="nil"/>
              <w:left w:val="nil"/>
              <w:bottom w:val="nil"/>
              <w:right w:val="nil"/>
            </w:tcBorders>
            <w:vAlign w:val="center"/>
            <w:hideMark/>
          </w:tcPr>
          <w:p w14:paraId="76B9FB32"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Internally Generated Revenue</w:t>
            </w:r>
          </w:p>
        </w:tc>
      </w:tr>
      <w:tr w:rsidR="007C5443" w:rsidRPr="005C643C" w14:paraId="1B8369C4" w14:textId="77777777" w:rsidTr="009A5BBD">
        <w:trPr>
          <w:trHeight w:val="300"/>
        </w:trPr>
        <w:tc>
          <w:tcPr>
            <w:tcW w:w="1276" w:type="dxa"/>
            <w:tcBorders>
              <w:top w:val="nil"/>
              <w:left w:val="nil"/>
              <w:bottom w:val="nil"/>
              <w:right w:val="nil"/>
            </w:tcBorders>
            <w:vAlign w:val="center"/>
            <w:hideMark/>
          </w:tcPr>
          <w:p w14:paraId="488CF5C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IMF</w:t>
            </w:r>
          </w:p>
        </w:tc>
        <w:tc>
          <w:tcPr>
            <w:tcW w:w="8728" w:type="dxa"/>
            <w:tcBorders>
              <w:top w:val="nil"/>
              <w:left w:val="nil"/>
              <w:bottom w:val="nil"/>
              <w:right w:val="nil"/>
            </w:tcBorders>
            <w:vAlign w:val="center"/>
            <w:hideMark/>
          </w:tcPr>
          <w:p w14:paraId="62BD8425"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International Monetary Fund</w:t>
            </w:r>
          </w:p>
        </w:tc>
      </w:tr>
      <w:tr w:rsidR="007C5443" w:rsidRPr="005C643C" w14:paraId="496B269D" w14:textId="77777777" w:rsidTr="009A5BBD">
        <w:trPr>
          <w:trHeight w:val="300"/>
        </w:trPr>
        <w:tc>
          <w:tcPr>
            <w:tcW w:w="1276" w:type="dxa"/>
            <w:tcBorders>
              <w:top w:val="nil"/>
              <w:left w:val="nil"/>
              <w:bottom w:val="nil"/>
              <w:right w:val="nil"/>
            </w:tcBorders>
            <w:vAlign w:val="center"/>
          </w:tcPr>
          <w:p w14:paraId="1B7D5461"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IRS</w:t>
            </w:r>
          </w:p>
        </w:tc>
        <w:tc>
          <w:tcPr>
            <w:tcW w:w="8728" w:type="dxa"/>
            <w:tcBorders>
              <w:top w:val="nil"/>
              <w:left w:val="nil"/>
              <w:bottom w:val="nil"/>
              <w:right w:val="nil"/>
            </w:tcBorders>
            <w:vAlign w:val="center"/>
          </w:tcPr>
          <w:p w14:paraId="321ACE5A"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Internal Revenue Service</w:t>
            </w:r>
          </w:p>
        </w:tc>
      </w:tr>
      <w:tr w:rsidR="007C5443" w:rsidRPr="005C643C" w14:paraId="1C6E6243" w14:textId="77777777" w:rsidTr="009A5BBD">
        <w:trPr>
          <w:trHeight w:val="300"/>
        </w:trPr>
        <w:tc>
          <w:tcPr>
            <w:tcW w:w="1276" w:type="dxa"/>
            <w:tcBorders>
              <w:top w:val="nil"/>
              <w:left w:val="nil"/>
              <w:bottom w:val="nil"/>
              <w:right w:val="nil"/>
            </w:tcBorders>
            <w:vAlign w:val="center"/>
            <w:hideMark/>
          </w:tcPr>
          <w:p w14:paraId="2EB53FA9" w14:textId="77777777" w:rsidR="007C5443" w:rsidRPr="005C643C" w:rsidRDefault="007C5443" w:rsidP="009A5BBD">
            <w:pPr>
              <w:spacing w:before="0" w:after="0"/>
              <w:rPr>
                <w:rFonts w:ascii="Calibri" w:eastAsia="Times New Roman" w:hAnsi="Calibri" w:cs="Calibri"/>
                <w:color w:val="000000"/>
              </w:rPr>
            </w:pPr>
            <w:proofErr w:type="spellStart"/>
            <w:r w:rsidRPr="005C643C">
              <w:rPr>
                <w:rFonts w:ascii="Calibri" w:eastAsia="Times New Roman" w:hAnsi="Calibri" w:cs="Calibri"/>
                <w:color w:val="000000"/>
              </w:rPr>
              <w:t>IsDB</w:t>
            </w:r>
            <w:proofErr w:type="spellEnd"/>
          </w:p>
        </w:tc>
        <w:tc>
          <w:tcPr>
            <w:tcW w:w="8728" w:type="dxa"/>
            <w:tcBorders>
              <w:top w:val="nil"/>
              <w:left w:val="nil"/>
              <w:bottom w:val="nil"/>
              <w:right w:val="nil"/>
            </w:tcBorders>
            <w:vAlign w:val="center"/>
            <w:hideMark/>
          </w:tcPr>
          <w:p w14:paraId="7A57FC13"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Islamic Development Bank</w:t>
            </w:r>
          </w:p>
        </w:tc>
      </w:tr>
      <w:tr w:rsidR="007C5443" w:rsidRPr="005C643C" w14:paraId="2D85CF51" w14:textId="77777777" w:rsidTr="009A5BBD">
        <w:trPr>
          <w:trHeight w:val="300"/>
        </w:trPr>
        <w:tc>
          <w:tcPr>
            <w:tcW w:w="1276" w:type="dxa"/>
            <w:tcBorders>
              <w:top w:val="nil"/>
              <w:left w:val="nil"/>
              <w:bottom w:val="nil"/>
              <w:right w:val="nil"/>
            </w:tcBorders>
            <w:vAlign w:val="center"/>
            <w:hideMark/>
          </w:tcPr>
          <w:p w14:paraId="51BC537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JTB</w:t>
            </w:r>
          </w:p>
        </w:tc>
        <w:tc>
          <w:tcPr>
            <w:tcW w:w="8728" w:type="dxa"/>
            <w:tcBorders>
              <w:top w:val="nil"/>
              <w:left w:val="nil"/>
              <w:bottom w:val="nil"/>
              <w:right w:val="nil"/>
            </w:tcBorders>
            <w:vAlign w:val="center"/>
            <w:hideMark/>
          </w:tcPr>
          <w:p w14:paraId="40DB061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Joint Tax Board </w:t>
            </w:r>
          </w:p>
        </w:tc>
      </w:tr>
      <w:tr w:rsidR="007C5443" w:rsidRPr="005C643C" w14:paraId="331994EC" w14:textId="77777777" w:rsidTr="009A5BBD">
        <w:trPr>
          <w:trHeight w:val="300"/>
        </w:trPr>
        <w:tc>
          <w:tcPr>
            <w:tcW w:w="1276" w:type="dxa"/>
            <w:tcBorders>
              <w:top w:val="nil"/>
              <w:left w:val="nil"/>
              <w:bottom w:val="nil"/>
              <w:right w:val="nil"/>
            </w:tcBorders>
            <w:vAlign w:val="center"/>
          </w:tcPr>
          <w:p w14:paraId="016F0EED"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LG</w:t>
            </w:r>
          </w:p>
        </w:tc>
        <w:tc>
          <w:tcPr>
            <w:tcW w:w="8728" w:type="dxa"/>
            <w:tcBorders>
              <w:top w:val="nil"/>
              <w:left w:val="nil"/>
              <w:bottom w:val="nil"/>
              <w:right w:val="nil"/>
            </w:tcBorders>
            <w:vAlign w:val="center"/>
          </w:tcPr>
          <w:p w14:paraId="1C9C4BED"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Local Government</w:t>
            </w:r>
          </w:p>
        </w:tc>
      </w:tr>
      <w:tr w:rsidR="007C5443" w:rsidRPr="005C643C" w14:paraId="306BC4D9" w14:textId="77777777" w:rsidTr="009A5BBD">
        <w:trPr>
          <w:trHeight w:val="300"/>
        </w:trPr>
        <w:tc>
          <w:tcPr>
            <w:tcW w:w="1276" w:type="dxa"/>
            <w:tcBorders>
              <w:top w:val="nil"/>
              <w:left w:val="nil"/>
              <w:bottom w:val="nil"/>
              <w:right w:val="nil"/>
            </w:tcBorders>
            <w:vAlign w:val="center"/>
          </w:tcPr>
          <w:p w14:paraId="7772EE32"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MBPD</w:t>
            </w:r>
          </w:p>
        </w:tc>
        <w:tc>
          <w:tcPr>
            <w:tcW w:w="8728" w:type="dxa"/>
            <w:tcBorders>
              <w:top w:val="nil"/>
              <w:left w:val="nil"/>
              <w:bottom w:val="nil"/>
              <w:right w:val="nil"/>
            </w:tcBorders>
            <w:vAlign w:val="center"/>
          </w:tcPr>
          <w:p w14:paraId="0F28EF2A"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Million Barrel Per Day</w:t>
            </w:r>
          </w:p>
        </w:tc>
      </w:tr>
      <w:tr w:rsidR="007C5443" w:rsidRPr="005C643C" w14:paraId="7AD15165" w14:textId="77777777" w:rsidTr="009A5BBD">
        <w:trPr>
          <w:trHeight w:val="300"/>
        </w:trPr>
        <w:tc>
          <w:tcPr>
            <w:tcW w:w="1276" w:type="dxa"/>
            <w:tcBorders>
              <w:top w:val="nil"/>
              <w:left w:val="nil"/>
              <w:bottom w:val="nil"/>
              <w:right w:val="nil"/>
            </w:tcBorders>
            <w:vAlign w:val="center"/>
            <w:hideMark/>
          </w:tcPr>
          <w:p w14:paraId="316B8137"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MDAs</w:t>
            </w:r>
          </w:p>
        </w:tc>
        <w:tc>
          <w:tcPr>
            <w:tcW w:w="8728" w:type="dxa"/>
            <w:tcBorders>
              <w:top w:val="nil"/>
              <w:left w:val="nil"/>
              <w:bottom w:val="nil"/>
              <w:right w:val="nil"/>
            </w:tcBorders>
            <w:vAlign w:val="center"/>
            <w:hideMark/>
          </w:tcPr>
          <w:p w14:paraId="0448E04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Ministries, Departments and Agencies</w:t>
            </w:r>
          </w:p>
        </w:tc>
      </w:tr>
      <w:tr w:rsidR="007C5443" w:rsidRPr="005C643C" w14:paraId="158108E9" w14:textId="77777777" w:rsidTr="009A5BBD">
        <w:trPr>
          <w:trHeight w:val="300"/>
        </w:trPr>
        <w:tc>
          <w:tcPr>
            <w:tcW w:w="1276" w:type="dxa"/>
            <w:tcBorders>
              <w:top w:val="nil"/>
              <w:left w:val="nil"/>
              <w:bottom w:val="nil"/>
              <w:right w:val="nil"/>
            </w:tcBorders>
            <w:vAlign w:val="center"/>
            <w:hideMark/>
          </w:tcPr>
          <w:p w14:paraId="4B2C79B7"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MEO</w:t>
            </w:r>
          </w:p>
        </w:tc>
        <w:tc>
          <w:tcPr>
            <w:tcW w:w="8728" w:type="dxa"/>
            <w:tcBorders>
              <w:top w:val="nil"/>
              <w:left w:val="nil"/>
              <w:bottom w:val="nil"/>
              <w:right w:val="nil"/>
            </w:tcBorders>
            <w:vAlign w:val="center"/>
            <w:hideMark/>
          </w:tcPr>
          <w:p w14:paraId="04463C3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Macroeconomic Performance and Outlook </w:t>
            </w:r>
          </w:p>
        </w:tc>
      </w:tr>
      <w:tr w:rsidR="007C5443" w:rsidRPr="005C643C" w14:paraId="7252D311" w14:textId="77777777" w:rsidTr="009A5BBD">
        <w:trPr>
          <w:trHeight w:val="300"/>
        </w:trPr>
        <w:tc>
          <w:tcPr>
            <w:tcW w:w="1276" w:type="dxa"/>
            <w:tcBorders>
              <w:top w:val="nil"/>
              <w:left w:val="nil"/>
              <w:bottom w:val="nil"/>
              <w:right w:val="nil"/>
            </w:tcBorders>
            <w:noWrap/>
            <w:vAlign w:val="bottom"/>
            <w:hideMark/>
          </w:tcPr>
          <w:p w14:paraId="123FA0F3" w14:textId="77777777" w:rsidR="007C5443" w:rsidRPr="005C643C" w:rsidRDefault="007C5443" w:rsidP="009A5BBD">
            <w:pPr>
              <w:spacing w:before="0" w:after="0"/>
              <w:jc w:val="left"/>
              <w:rPr>
                <w:rFonts w:ascii="Calibri" w:eastAsia="Times New Roman" w:hAnsi="Calibri" w:cs="Calibri"/>
                <w:color w:val="000000"/>
              </w:rPr>
            </w:pPr>
            <w:r w:rsidRPr="005C643C">
              <w:rPr>
                <w:rFonts w:ascii="Calibri" w:eastAsia="Times New Roman" w:hAnsi="Calibri" w:cs="Calibri"/>
                <w:color w:val="000000"/>
              </w:rPr>
              <w:t>MINT</w:t>
            </w:r>
          </w:p>
        </w:tc>
        <w:tc>
          <w:tcPr>
            <w:tcW w:w="8728" w:type="dxa"/>
            <w:tcBorders>
              <w:top w:val="nil"/>
              <w:left w:val="nil"/>
              <w:bottom w:val="nil"/>
              <w:right w:val="nil"/>
            </w:tcBorders>
            <w:noWrap/>
            <w:vAlign w:val="bottom"/>
            <w:hideMark/>
          </w:tcPr>
          <w:p w14:paraId="2E0E36A3" w14:textId="77777777" w:rsidR="007C5443" w:rsidRPr="005C643C" w:rsidRDefault="007C5443" w:rsidP="009A5BBD">
            <w:pPr>
              <w:spacing w:before="0" w:after="0"/>
              <w:jc w:val="left"/>
              <w:rPr>
                <w:rFonts w:ascii="Calibri" w:eastAsia="Times New Roman" w:hAnsi="Calibri" w:cs="Calibri"/>
                <w:color w:val="000000"/>
              </w:rPr>
            </w:pPr>
            <w:r w:rsidRPr="005C643C">
              <w:rPr>
                <w:rFonts w:ascii="Calibri" w:eastAsia="Times New Roman" w:hAnsi="Calibri" w:cs="Calibri"/>
                <w:color w:val="000000"/>
              </w:rPr>
              <w:t>Mexico, Indonesia, Nigeria, and Turkey</w:t>
            </w:r>
          </w:p>
        </w:tc>
      </w:tr>
      <w:tr w:rsidR="007C5443" w:rsidRPr="005C643C" w14:paraId="2FBD7449" w14:textId="77777777" w:rsidTr="009A5BBD">
        <w:trPr>
          <w:trHeight w:val="300"/>
        </w:trPr>
        <w:tc>
          <w:tcPr>
            <w:tcW w:w="1276" w:type="dxa"/>
            <w:tcBorders>
              <w:top w:val="nil"/>
              <w:left w:val="nil"/>
              <w:bottom w:val="nil"/>
              <w:right w:val="nil"/>
            </w:tcBorders>
            <w:vAlign w:val="center"/>
            <w:hideMark/>
          </w:tcPr>
          <w:p w14:paraId="6E783AC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MOF</w:t>
            </w:r>
          </w:p>
        </w:tc>
        <w:tc>
          <w:tcPr>
            <w:tcW w:w="8728" w:type="dxa"/>
            <w:tcBorders>
              <w:top w:val="nil"/>
              <w:left w:val="nil"/>
              <w:bottom w:val="nil"/>
              <w:right w:val="nil"/>
            </w:tcBorders>
            <w:vAlign w:val="center"/>
            <w:hideMark/>
          </w:tcPr>
          <w:p w14:paraId="1574751C"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Ministry of Finance</w:t>
            </w:r>
          </w:p>
        </w:tc>
      </w:tr>
      <w:tr w:rsidR="007C5443" w:rsidRPr="005C643C" w14:paraId="7824F1BE" w14:textId="77777777" w:rsidTr="009A5BBD">
        <w:trPr>
          <w:trHeight w:val="300"/>
        </w:trPr>
        <w:tc>
          <w:tcPr>
            <w:tcW w:w="1276" w:type="dxa"/>
            <w:tcBorders>
              <w:top w:val="nil"/>
              <w:left w:val="nil"/>
              <w:bottom w:val="nil"/>
              <w:right w:val="nil"/>
            </w:tcBorders>
            <w:vAlign w:val="center"/>
            <w:hideMark/>
          </w:tcPr>
          <w:p w14:paraId="1222E87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MOMR</w:t>
            </w:r>
          </w:p>
        </w:tc>
        <w:tc>
          <w:tcPr>
            <w:tcW w:w="8728" w:type="dxa"/>
            <w:tcBorders>
              <w:top w:val="nil"/>
              <w:left w:val="nil"/>
              <w:bottom w:val="nil"/>
              <w:right w:val="nil"/>
            </w:tcBorders>
            <w:vAlign w:val="center"/>
            <w:hideMark/>
          </w:tcPr>
          <w:p w14:paraId="603BFB4F"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Monthly Oil Market Report</w:t>
            </w:r>
          </w:p>
        </w:tc>
      </w:tr>
      <w:tr w:rsidR="007C5443" w:rsidRPr="005C643C" w14:paraId="55BA6A70" w14:textId="77777777" w:rsidTr="009A5BBD">
        <w:trPr>
          <w:trHeight w:val="300"/>
        </w:trPr>
        <w:tc>
          <w:tcPr>
            <w:tcW w:w="1276" w:type="dxa"/>
            <w:tcBorders>
              <w:top w:val="nil"/>
              <w:left w:val="nil"/>
              <w:bottom w:val="nil"/>
              <w:right w:val="nil"/>
            </w:tcBorders>
            <w:vAlign w:val="center"/>
            <w:hideMark/>
          </w:tcPr>
          <w:p w14:paraId="3C5B036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MPC</w:t>
            </w:r>
          </w:p>
        </w:tc>
        <w:tc>
          <w:tcPr>
            <w:tcW w:w="8728" w:type="dxa"/>
            <w:tcBorders>
              <w:top w:val="nil"/>
              <w:left w:val="nil"/>
              <w:bottom w:val="nil"/>
              <w:right w:val="nil"/>
            </w:tcBorders>
            <w:vAlign w:val="center"/>
            <w:hideMark/>
          </w:tcPr>
          <w:p w14:paraId="0A9D75BC"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Monetary Policy Committee</w:t>
            </w:r>
          </w:p>
        </w:tc>
      </w:tr>
      <w:tr w:rsidR="00627504" w:rsidRPr="005C643C" w14:paraId="6FB4A429" w14:textId="77777777" w:rsidTr="009A5BBD">
        <w:trPr>
          <w:trHeight w:val="300"/>
        </w:trPr>
        <w:tc>
          <w:tcPr>
            <w:tcW w:w="1276" w:type="dxa"/>
            <w:tcBorders>
              <w:top w:val="nil"/>
              <w:left w:val="nil"/>
              <w:bottom w:val="nil"/>
              <w:right w:val="nil"/>
            </w:tcBorders>
            <w:vAlign w:val="center"/>
          </w:tcPr>
          <w:p w14:paraId="71753913" w14:textId="05ECC146" w:rsidR="00627504" w:rsidRPr="005C643C" w:rsidRDefault="00776552" w:rsidP="009A5BBD">
            <w:pPr>
              <w:spacing w:before="0" w:after="0"/>
              <w:rPr>
                <w:rFonts w:ascii="Calibri" w:eastAsia="Times New Roman" w:hAnsi="Calibri" w:cs="Calibri"/>
                <w:color w:val="000000"/>
              </w:rPr>
            </w:pPr>
            <w:r>
              <w:rPr>
                <w:rFonts w:ascii="Calibri" w:eastAsia="Times New Roman" w:hAnsi="Calibri" w:cs="Calibri"/>
                <w:color w:val="000000"/>
              </w:rPr>
              <w:lastRenderedPageBreak/>
              <w:t>MPR</w:t>
            </w:r>
          </w:p>
        </w:tc>
        <w:tc>
          <w:tcPr>
            <w:tcW w:w="8728" w:type="dxa"/>
            <w:tcBorders>
              <w:top w:val="nil"/>
              <w:left w:val="nil"/>
              <w:bottom w:val="nil"/>
              <w:right w:val="nil"/>
            </w:tcBorders>
            <w:vAlign w:val="center"/>
          </w:tcPr>
          <w:p w14:paraId="391B8471" w14:textId="5AAB5700" w:rsidR="00627504" w:rsidRPr="005C643C" w:rsidRDefault="00391100" w:rsidP="009A5BBD">
            <w:pPr>
              <w:spacing w:before="0" w:after="0"/>
              <w:rPr>
                <w:rFonts w:ascii="Calibri" w:eastAsia="Times New Roman" w:hAnsi="Calibri" w:cs="Calibri"/>
                <w:color w:val="000000"/>
              </w:rPr>
            </w:pPr>
            <w:r>
              <w:rPr>
                <w:rFonts w:ascii="Calibri" w:eastAsia="Times New Roman" w:hAnsi="Calibri" w:cs="Calibri"/>
                <w:color w:val="000000"/>
              </w:rPr>
              <w:t>Monetary Policy Rate</w:t>
            </w:r>
          </w:p>
        </w:tc>
      </w:tr>
      <w:tr w:rsidR="007C5443" w:rsidRPr="005C643C" w14:paraId="531239A0" w14:textId="77777777" w:rsidTr="009A5BBD">
        <w:trPr>
          <w:trHeight w:val="300"/>
        </w:trPr>
        <w:tc>
          <w:tcPr>
            <w:tcW w:w="1276" w:type="dxa"/>
            <w:tcBorders>
              <w:top w:val="nil"/>
              <w:left w:val="nil"/>
              <w:bottom w:val="nil"/>
              <w:right w:val="nil"/>
            </w:tcBorders>
            <w:vAlign w:val="center"/>
          </w:tcPr>
          <w:p w14:paraId="6B922CEB"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MTBF</w:t>
            </w:r>
          </w:p>
        </w:tc>
        <w:tc>
          <w:tcPr>
            <w:tcW w:w="8728" w:type="dxa"/>
            <w:tcBorders>
              <w:top w:val="nil"/>
              <w:left w:val="nil"/>
              <w:bottom w:val="nil"/>
              <w:right w:val="nil"/>
            </w:tcBorders>
            <w:vAlign w:val="center"/>
          </w:tcPr>
          <w:p w14:paraId="61D2123B" w14:textId="618696F7" w:rsidR="007C5443" w:rsidRPr="005C643C" w:rsidRDefault="0044582A" w:rsidP="009A5BBD">
            <w:pPr>
              <w:spacing w:before="0" w:after="0"/>
              <w:rPr>
                <w:rFonts w:ascii="Calibri" w:eastAsia="Times New Roman" w:hAnsi="Calibri" w:cs="Calibri"/>
                <w:color w:val="000000"/>
              </w:rPr>
            </w:pPr>
            <w:r>
              <w:rPr>
                <w:rFonts w:ascii="Calibri" w:eastAsia="Times New Roman" w:hAnsi="Calibri" w:cs="Calibri"/>
                <w:color w:val="000000"/>
              </w:rPr>
              <w:t>Medium-term</w:t>
            </w:r>
            <w:r w:rsidR="007C5443">
              <w:rPr>
                <w:rFonts w:ascii="Calibri" w:eastAsia="Times New Roman" w:hAnsi="Calibri" w:cs="Calibri"/>
                <w:color w:val="000000"/>
              </w:rPr>
              <w:t xml:space="preserve"> Budget Framework</w:t>
            </w:r>
          </w:p>
        </w:tc>
      </w:tr>
      <w:tr w:rsidR="007C5443" w:rsidRPr="005C643C" w14:paraId="0DFA2F96" w14:textId="77777777" w:rsidTr="009A5BBD">
        <w:trPr>
          <w:trHeight w:val="300"/>
        </w:trPr>
        <w:tc>
          <w:tcPr>
            <w:tcW w:w="1276" w:type="dxa"/>
            <w:tcBorders>
              <w:top w:val="nil"/>
              <w:left w:val="nil"/>
              <w:bottom w:val="nil"/>
              <w:right w:val="nil"/>
            </w:tcBorders>
            <w:vAlign w:val="center"/>
            <w:hideMark/>
          </w:tcPr>
          <w:p w14:paraId="7D3980F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MTEF</w:t>
            </w:r>
          </w:p>
        </w:tc>
        <w:tc>
          <w:tcPr>
            <w:tcW w:w="8728" w:type="dxa"/>
            <w:tcBorders>
              <w:top w:val="nil"/>
              <w:left w:val="nil"/>
              <w:bottom w:val="nil"/>
              <w:right w:val="nil"/>
            </w:tcBorders>
            <w:vAlign w:val="center"/>
            <w:hideMark/>
          </w:tcPr>
          <w:p w14:paraId="2214AB3E"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Medium Term Expenditure Framework</w:t>
            </w:r>
          </w:p>
        </w:tc>
      </w:tr>
      <w:tr w:rsidR="007C5443" w:rsidRPr="005C643C" w14:paraId="1BA57EE4" w14:textId="77777777" w:rsidTr="009A5BBD">
        <w:trPr>
          <w:trHeight w:val="300"/>
        </w:trPr>
        <w:tc>
          <w:tcPr>
            <w:tcW w:w="1276" w:type="dxa"/>
            <w:tcBorders>
              <w:top w:val="nil"/>
              <w:left w:val="nil"/>
              <w:bottom w:val="nil"/>
              <w:right w:val="nil"/>
            </w:tcBorders>
            <w:vAlign w:val="center"/>
            <w:hideMark/>
          </w:tcPr>
          <w:p w14:paraId="52003A9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MTFF</w:t>
            </w:r>
          </w:p>
        </w:tc>
        <w:tc>
          <w:tcPr>
            <w:tcW w:w="8728" w:type="dxa"/>
            <w:tcBorders>
              <w:top w:val="nil"/>
              <w:left w:val="nil"/>
              <w:bottom w:val="nil"/>
              <w:right w:val="nil"/>
            </w:tcBorders>
            <w:vAlign w:val="center"/>
            <w:hideMark/>
          </w:tcPr>
          <w:p w14:paraId="6DD4E6C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Medium Term Fiscal Framework</w:t>
            </w:r>
          </w:p>
        </w:tc>
      </w:tr>
      <w:tr w:rsidR="007C5443" w:rsidRPr="005C643C" w14:paraId="0DEA038E" w14:textId="77777777" w:rsidTr="009A5BBD">
        <w:trPr>
          <w:trHeight w:val="300"/>
        </w:trPr>
        <w:tc>
          <w:tcPr>
            <w:tcW w:w="1276" w:type="dxa"/>
            <w:tcBorders>
              <w:top w:val="nil"/>
              <w:left w:val="nil"/>
              <w:bottom w:val="nil"/>
              <w:right w:val="nil"/>
            </w:tcBorders>
            <w:vAlign w:val="center"/>
            <w:hideMark/>
          </w:tcPr>
          <w:p w14:paraId="37019F3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MTSS</w:t>
            </w:r>
          </w:p>
        </w:tc>
        <w:tc>
          <w:tcPr>
            <w:tcW w:w="8728" w:type="dxa"/>
            <w:tcBorders>
              <w:top w:val="nil"/>
              <w:left w:val="nil"/>
              <w:bottom w:val="nil"/>
              <w:right w:val="nil"/>
            </w:tcBorders>
            <w:vAlign w:val="center"/>
            <w:hideMark/>
          </w:tcPr>
          <w:p w14:paraId="54459ECD" w14:textId="77777777" w:rsidR="007C5443" w:rsidRPr="005C643C" w:rsidRDefault="007C5443" w:rsidP="00B365F4">
            <w:pPr>
              <w:pStyle w:val="NumberedPara"/>
              <w:numPr>
                <w:ilvl w:val="0"/>
                <w:numId w:val="0"/>
              </w:numPr>
            </w:pPr>
            <w:r w:rsidRPr="005C643C">
              <w:t>Medium Term Sector Strategy</w:t>
            </w:r>
          </w:p>
        </w:tc>
      </w:tr>
      <w:tr w:rsidR="007C5443" w:rsidRPr="005C643C" w14:paraId="0125DF3B" w14:textId="77777777" w:rsidTr="009A5BBD">
        <w:trPr>
          <w:trHeight w:val="300"/>
        </w:trPr>
        <w:tc>
          <w:tcPr>
            <w:tcW w:w="1276" w:type="dxa"/>
            <w:tcBorders>
              <w:top w:val="nil"/>
              <w:left w:val="nil"/>
              <w:bottom w:val="nil"/>
              <w:right w:val="nil"/>
            </w:tcBorders>
            <w:vAlign w:val="center"/>
            <w:hideMark/>
          </w:tcPr>
          <w:p w14:paraId="337E695C"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NBS</w:t>
            </w:r>
          </w:p>
        </w:tc>
        <w:tc>
          <w:tcPr>
            <w:tcW w:w="8728" w:type="dxa"/>
            <w:tcBorders>
              <w:top w:val="nil"/>
              <w:left w:val="nil"/>
              <w:bottom w:val="nil"/>
              <w:right w:val="nil"/>
            </w:tcBorders>
            <w:vAlign w:val="center"/>
            <w:hideMark/>
          </w:tcPr>
          <w:p w14:paraId="139CCB0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National Bureau of Statistics</w:t>
            </w:r>
          </w:p>
        </w:tc>
      </w:tr>
      <w:tr w:rsidR="007C5443" w:rsidRPr="005C643C" w14:paraId="1F05EE8E" w14:textId="77777777" w:rsidTr="009A5BBD">
        <w:trPr>
          <w:trHeight w:val="300"/>
        </w:trPr>
        <w:tc>
          <w:tcPr>
            <w:tcW w:w="1276" w:type="dxa"/>
            <w:tcBorders>
              <w:top w:val="nil"/>
              <w:left w:val="nil"/>
              <w:bottom w:val="nil"/>
              <w:right w:val="nil"/>
            </w:tcBorders>
            <w:vAlign w:val="center"/>
            <w:hideMark/>
          </w:tcPr>
          <w:p w14:paraId="24F18E70"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NCS</w:t>
            </w:r>
          </w:p>
        </w:tc>
        <w:tc>
          <w:tcPr>
            <w:tcW w:w="8728" w:type="dxa"/>
            <w:tcBorders>
              <w:top w:val="nil"/>
              <w:left w:val="nil"/>
              <w:bottom w:val="nil"/>
              <w:right w:val="nil"/>
            </w:tcBorders>
            <w:vAlign w:val="center"/>
            <w:hideMark/>
          </w:tcPr>
          <w:p w14:paraId="61F2146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National Customs Service</w:t>
            </w:r>
          </w:p>
        </w:tc>
      </w:tr>
      <w:tr w:rsidR="007C5443" w:rsidRPr="005C643C" w14:paraId="7EC29220" w14:textId="77777777" w:rsidTr="009A5BBD">
        <w:trPr>
          <w:trHeight w:val="300"/>
        </w:trPr>
        <w:tc>
          <w:tcPr>
            <w:tcW w:w="1276" w:type="dxa"/>
            <w:tcBorders>
              <w:top w:val="nil"/>
              <w:left w:val="nil"/>
              <w:bottom w:val="nil"/>
              <w:right w:val="nil"/>
            </w:tcBorders>
            <w:vAlign w:val="center"/>
            <w:hideMark/>
          </w:tcPr>
          <w:p w14:paraId="419D76C2"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NGO</w:t>
            </w:r>
          </w:p>
        </w:tc>
        <w:tc>
          <w:tcPr>
            <w:tcW w:w="8728" w:type="dxa"/>
            <w:tcBorders>
              <w:top w:val="nil"/>
              <w:left w:val="nil"/>
              <w:bottom w:val="nil"/>
              <w:right w:val="nil"/>
            </w:tcBorders>
            <w:vAlign w:val="center"/>
            <w:hideMark/>
          </w:tcPr>
          <w:p w14:paraId="50E1BAA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Non-Government Organisations</w:t>
            </w:r>
          </w:p>
        </w:tc>
      </w:tr>
      <w:tr w:rsidR="007C5443" w:rsidRPr="005C643C" w14:paraId="03989820" w14:textId="77777777" w:rsidTr="009A5BBD">
        <w:trPr>
          <w:trHeight w:val="300"/>
        </w:trPr>
        <w:tc>
          <w:tcPr>
            <w:tcW w:w="1276" w:type="dxa"/>
            <w:tcBorders>
              <w:top w:val="nil"/>
              <w:left w:val="nil"/>
              <w:bottom w:val="nil"/>
              <w:right w:val="nil"/>
            </w:tcBorders>
            <w:vAlign w:val="center"/>
            <w:hideMark/>
          </w:tcPr>
          <w:p w14:paraId="07891E8D"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NNPC</w:t>
            </w:r>
          </w:p>
        </w:tc>
        <w:tc>
          <w:tcPr>
            <w:tcW w:w="8728" w:type="dxa"/>
            <w:tcBorders>
              <w:top w:val="nil"/>
              <w:left w:val="nil"/>
              <w:bottom w:val="nil"/>
              <w:right w:val="nil"/>
            </w:tcBorders>
            <w:vAlign w:val="center"/>
            <w:hideMark/>
          </w:tcPr>
          <w:p w14:paraId="3265B9E0"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Nigerian National Petroleum Company</w:t>
            </w:r>
          </w:p>
        </w:tc>
      </w:tr>
      <w:tr w:rsidR="007C5443" w:rsidRPr="005C643C" w14:paraId="62767EC6" w14:textId="77777777" w:rsidTr="009A5BBD">
        <w:trPr>
          <w:trHeight w:val="300"/>
        </w:trPr>
        <w:tc>
          <w:tcPr>
            <w:tcW w:w="1276" w:type="dxa"/>
            <w:tcBorders>
              <w:top w:val="nil"/>
              <w:left w:val="nil"/>
              <w:bottom w:val="nil"/>
              <w:right w:val="nil"/>
            </w:tcBorders>
            <w:vAlign w:val="center"/>
            <w:hideMark/>
          </w:tcPr>
          <w:p w14:paraId="1010BD9F"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NPC</w:t>
            </w:r>
          </w:p>
        </w:tc>
        <w:tc>
          <w:tcPr>
            <w:tcW w:w="8728" w:type="dxa"/>
            <w:tcBorders>
              <w:top w:val="nil"/>
              <w:left w:val="nil"/>
              <w:bottom w:val="nil"/>
              <w:right w:val="nil"/>
            </w:tcBorders>
            <w:vAlign w:val="center"/>
            <w:hideMark/>
          </w:tcPr>
          <w:p w14:paraId="6D4746DD"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National Planning Commission</w:t>
            </w:r>
          </w:p>
        </w:tc>
      </w:tr>
      <w:tr w:rsidR="007C5443" w:rsidRPr="005C643C" w14:paraId="2BB94CF0" w14:textId="77777777" w:rsidTr="009A5BBD">
        <w:trPr>
          <w:trHeight w:val="300"/>
        </w:trPr>
        <w:tc>
          <w:tcPr>
            <w:tcW w:w="1276" w:type="dxa"/>
            <w:tcBorders>
              <w:top w:val="nil"/>
              <w:left w:val="nil"/>
              <w:bottom w:val="nil"/>
              <w:right w:val="nil"/>
            </w:tcBorders>
            <w:vAlign w:val="center"/>
          </w:tcPr>
          <w:p w14:paraId="76EA60BF"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NURPC</w:t>
            </w:r>
          </w:p>
        </w:tc>
        <w:tc>
          <w:tcPr>
            <w:tcW w:w="8728" w:type="dxa"/>
            <w:tcBorders>
              <w:top w:val="nil"/>
              <w:left w:val="nil"/>
              <w:bottom w:val="nil"/>
              <w:right w:val="nil"/>
            </w:tcBorders>
            <w:vAlign w:val="center"/>
          </w:tcPr>
          <w:p w14:paraId="188E7208" w14:textId="77777777" w:rsidR="007C5443" w:rsidRPr="005C643C" w:rsidRDefault="007C5443" w:rsidP="009A5BBD">
            <w:pPr>
              <w:spacing w:before="0" w:after="0"/>
              <w:rPr>
                <w:rFonts w:ascii="Calibri" w:eastAsia="Times New Roman" w:hAnsi="Calibri" w:cs="Calibri"/>
                <w:color w:val="000000"/>
              </w:rPr>
            </w:pPr>
            <w:r w:rsidRPr="00267BBF">
              <w:rPr>
                <w:rFonts w:cstheme="minorHAnsi"/>
              </w:rPr>
              <w:t>Nigerian Upstream Petroleum Regulatory Commission</w:t>
            </w:r>
          </w:p>
        </w:tc>
      </w:tr>
      <w:tr w:rsidR="007C5443" w:rsidRPr="005C643C" w14:paraId="38A7F443" w14:textId="77777777" w:rsidTr="009A5BBD">
        <w:trPr>
          <w:trHeight w:val="300"/>
        </w:trPr>
        <w:tc>
          <w:tcPr>
            <w:tcW w:w="1276" w:type="dxa"/>
            <w:tcBorders>
              <w:top w:val="nil"/>
              <w:left w:val="nil"/>
              <w:bottom w:val="nil"/>
              <w:right w:val="nil"/>
            </w:tcBorders>
            <w:vAlign w:val="center"/>
            <w:hideMark/>
          </w:tcPr>
          <w:p w14:paraId="7EC9573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OAGF</w:t>
            </w:r>
          </w:p>
        </w:tc>
        <w:tc>
          <w:tcPr>
            <w:tcW w:w="8728" w:type="dxa"/>
            <w:tcBorders>
              <w:top w:val="nil"/>
              <w:left w:val="nil"/>
              <w:bottom w:val="nil"/>
              <w:right w:val="nil"/>
            </w:tcBorders>
            <w:vAlign w:val="center"/>
            <w:hideMark/>
          </w:tcPr>
          <w:p w14:paraId="0D23FCDA"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Office of the Accountant General for the Federation</w:t>
            </w:r>
          </w:p>
        </w:tc>
      </w:tr>
      <w:tr w:rsidR="007C5443" w:rsidRPr="005C643C" w14:paraId="42B74AEA" w14:textId="77777777" w:rsidTr="009A5BBD">
        <w:trPr>
          <w:trHeight w:val="300"/>
        </w:trPr>
        <w:tc>
          <w:tcPr>
            <w:tcW w:w="1276" w:type="dxa"/>
            <w:tcBorders>
              <w:top w:val="nil"/>
              <w:left w:val="nil"/>
              <w:bottom w:val="nil"/>
              <w:right w:val="nil"/>
            </w:tcBorders>
            <w:vAlign w:val="center"/>
            <w:hideMark/>
          </w:tcPr>
          <w:p w14:paraId="1E52899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OAGS</w:t>
            </w:r>
          </w:p>
        </w:tc>
        <w:tc>
          <w:tcPr>
            <w:tcW w:w="8728" w:type="dxa"/>
            <w:tcBorders>
              <w:top w:val="nil"/>
              <w:left w:val="nil"/>
              <w:bottom w:val="nil"/>
              <w:right w:val="nil"/>
            </w:tcBorders>
            <w:vAlign w:val="center"/>
            <w:hideMark/>
          </w:tcPr>
          <w:p w14:paraId="5F75BBED"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Office of the Accountant General for the State </w:t>
            </w:r>
          </w:p>
        </w:tc>
      </w:tr>
      <w:tr w:rsidR="007C5443" w:rsidRPr="005C643C" w14:paraId="28A0C6D1" w14:textId="77777777" w:rsidTr="009A5BBD">
        <w:trPr>
          <w:trHeight w:val="300"/>
        </w:trPr>
        <w:tc>
          <w:tcPr>
            <w:tcW w:w="1276" w:type="dxa"/>
            <w:tcBorders>
              <w:top w:val="nil"/>
              <w:left w:val="nil"/>
              <w:bottom w:val="nil"/>
              <w:right w:val="nil"/>
            </w:tcBorders>
            <w:vAlign w:val="center"/>
            <w:hideMark/>
          </w:tcPr>
          <w:p w14:paraId="0CC1C85B"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ODA</w:t>
            </w:r>
          </w:p>
        </w:tc>
        <w:tc>
          <w:tcPr>
            <w:tcW w:w="8728" w:type="dxa"/>
            <w:tcBorders>
              <w:top w:val="nil"/>
              <w:left w:val="nil"/>
              <w:bottom w:val="nil"/>
              <w:right w:val="nil"/>
            </w:tcBorders>
            <w:vAlign w:val="center"/>
            <w:hideMark/>
          </w:tcPr>
          <w:p w14:paraId="012FFA45"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Official Development Assistance</w:t>
            </w:r>
          </w:p>
        </w:tc>
      </w:tr>
      <w:tr w:rsidR="007C5443" w:rsidRPr="005C643C" w14:paraId="5D7583B2" w14:textId="77777777" w:rsidTr="009A5BBD">
        <w:trPr>
          <w:trHeight w:val="300"/>
        </w:trPr>
        <w:tc>
          <w:tcPr>
            <w:tcW w:w="1276" w:type="dxa"/>
            <w:tcBorders>
              <w:top w:val="nil"/>
              <w:left w:val="nil"/>
              <w:bottom w:val="nil"/>
              <w:right w:val="nil"/>
            </w:tcBorders>
            <w:vAlign w:val="center"/>
            <w:hideMark/>
          </w:tcPr>
          <w:p w14:paraId="3AF7F7AD"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OECD</w:t>
            </w:r>
          </w:p>
        </w:tc>
        <w:tc>
          <w:tcPr>
            <w:tcW w:w="8728" w:type="dxa"/>
            <w:tcBorders>
              <w:top w:val="nil"/>
              <w:left w:val="nil"/>
              <w:bottom w:val="nil"/>
              <w:right w:val="nil"/>
            </w:tcBorders>
            <w:vAlign w:val="center"/>
            <w:hideMark/>
          </w:tcPr>
          <w:p w14:paraId="55E56C38"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Organisation for Economic Cooperation and Development</w:t>
            </w:r>
          </w:p>
        </w:tc>
      </w:tr>
      <w:tr w:rsidR="007C5443" w:rsidRPr="005C643C" w14:paraId="7C862044" w14:textId="77777777" w:rsidTr="009A5BBD">
        <w:trPr>
          <w:trHeight w:val="300"/>
        </w:trPr>
        <w:tc>
          <w:tcPr>
            <w:tcW w:w="1276" w:type="dxa"/>
            <w:tcBorders>
              <w:top w:val="nil"/>
              <w:left w:val="nil"/>
              <w:bottom w:val="nil"/>
              <w:right w:val="nil"/>
            </w:tcBorders>
            <w:vAlign w:val="center"/>
            <w:hideMark/>
          </w:tcPr>
          <w:p w14:paraId="004A3E53"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OPEC</w:t>
            </w:r>
          </w:p>
        </w:tc>
        <w:tc>
          <w:tcPr>
            <w:tcW w:w="8728" w:type="dxa"/>
            <w:tcBorders>
              <w:top w:val="nil"/>
              <w:left w:val="nil"/>
              <w:bottom w:val="nil"/>
              <w:right w:val="nil"/>
            </w:tcBorders>
            <w:vAlign w:val="center"/>
            <w:hideMark/>
          </w:tcPr>
          <w:p w14:paraId="3B45B6E4"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Organisation of Petroleum Exporting Countries</w:t>
            </w:r>
          </w:p>
        </w:tc>
      </w:tr>
      <w:tr w:rsidR="007C5443" w:rsidRPr="005C643C" w14:paraId="7217E575" w14:textId="77777777" w:rsidTr="009A5BBD">
        <w:trPr>
          <w:trHeight w:val="300"/>
        </w:trPr>
        <w:tc>
          <w:tcPr>
            <w:tcW w:w="1276" w:type="dxa"/>
            <w:tcBorders>
              <w:top w:val="nil"/>
              <w:left w:val="nil"/>
              <w:bottom w:val="nil"/>
              <w:right w:val="nil"/>
            </w:tcBorders>
            <w:vAlign w:val="center"/>
            <w:hideMark/>
          </w:tcPr>
          <w:p w14:paraId="4090DE51"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PFM</w:t>
            </w:r>
          </w:p>
        </w:tc>
        <w:tc>
          <w:tcPr>
            <w:tcW w:w="8728" w:type="dxa"/>
            <w:tcBorders>
              <w:top w:val="nil"/>
              <w:left w:val="nil"/>
              <w:bottom w:val="nil"/>
              <w:right w:val="nil"/>
            </w:tcBorders>
            <w:vAlign w:val="center"/>
            <w:hideMark/>
          </w:tcPr>
          <w:p w14:paraId="10ADAECF"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Public Financial Management</w:t>
            </w:r>
          </w:p>
        </w:tc>
      </w:tr>
      <w:tr w:rsidR="007C5443" w:rsidRPr="005C643C" w14:paraId="019F8282" w14:textId="77777777" w:rsidTr="009A5BBD">
        <w:trPr>
          <w:trHeight w:val="300"/>
        </w:trPr>
        <w:tc>
          <w:tcPr>
            <w:tcW w:w="1276" w:type="dxa"/>
            <w:tcBorders>
              <w:top w:val="nil"/>
              <w:left w:val="nil"/>
              <w:bottom w:val="nil"/>
              <w:right w:val="nil"/>
            </w:tcBorders>
            <w:vAlign w:val="center"/>
            <w:hideMark/>
          </w:tcPr>
          <w:p w14:paraId="0A04B472"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PITA</w:t>
            </w:r>
          </w:p>
        </w:tc>
        <w:tc>
          <w:tcPr>
            <w:tcW w:w="8728" w:type="dxa"/>
            <w:tcBorders>
              <w:top w:val="nil"/>
              <w:left w:val="nil"/>
              <w:bottom w:val="nil"/>
              <w:right w:val="nil"/>
            </w:tcBorders>
            <w:vAlign w:val="center"/>
            <w:hideMark/>
          </w:tcPr>
          <w:p w14:paraId="718B21E0"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Personal Income Tax Act</w:t>
            </w:r>
          </w:p>
        </w:tc>
      </w:tr>
      <w:tr w:rsidR="007C5443" w:rsidRPr="005C643C" w14:paraId="6CE84D93" w14:textId="77777777" w:rsidTr="009A5BBD">
        <w:trPr>
          <w:trHeight w:val="300"/>
        </w:trPr>
        <w:tc>
          <w:tcPr>
            <w:tcW w:w="1276" w:type="dxa"/>
            <w:tcBorders>
              <w:top w:val="nil"/>
              <w:left w:val="nil"/>
              <w:bottom w:val="nil"/>
              <w:right w:val="nil"/>
            </w:tcBorders>
            <w:vAlign w:val="center"/>
            <w:hideMark/>
          </w:tcPr>
          <w:p w14:paraId="5F5E6E3F"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PMS</w:t>
            </w:r>
          </w:p>
        </w:tc>
        <w:tc>
          <w:tcPr>
            <w:tcW w:w="8728" w:type="dxa"/>
            <w:tcBorders>
              <w:top w:val="nil"/>
              <w:left w:val="nil"/>
              <w:bottom w:val="nil"/>
              <w:right w:val="nil"/>
            </w:tcBorders>
            <w:vAlign w:val="center"/>
            <w:hideMark/>
          </w:tcPr>
          <w:p w14:paraId="44B8497E"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Premium Motor Spirit (Petrol)</w:t>
            </w:r>
          </w:p>
        </w:tc>
      </w:tr>
      <w:tr w:rsidR="008B6842" w:rsidRPr="005C643C" w14:paraId="27A0B933" w14:textId="77777777" w:rsidTr="009A5BBD">
        <w:trPr>
          <w:trHeight w:val="300"/>
        </w:trPr>
        <w:tc>
          <w:tcPr>
            <w:tcW w:w="1276" w:type="dxa"/>
            <w:tcBorders>
              <w:top w:val="nil"/>
              <w:left w:val="nil"/>
              <w:bottom w:val="nil"/>
              <w:right w:val="nil"/>
            </w:tcBorders>
            <w:vAlign w:val="center"/>
          </w:tcPr>
          <w:p w14:paraId="3803FC80" w14:textId="4F7DF511" w:rsidR="008B6842" w:rsidRPr="005C643C" w:rsidRDefault="008B6842" w:rsidP="009A5BBD">
            <w:pPr>
              <w:spacing w:before="0" w:after="0"/>
              <w:rPr>
                <w:rFonts w:ascii="Calibri" w:eastAsia="Times New Roman" w:hAnsi="Calibri" w:cs="Calibri"/>
                <w:color w:val="000000"/>
              </w:rPr>
            </w:pPr>
            <w:r>
              <w:rPr>
                <w:rFonts w:ascii="Calibri" w:eastAsia="Times New Roman" w:hAnsi="Calibri" w:cs="Calibri"/>
                <w:color w:val="000000"/>
              </w:rPr>
              <w:t>PPP</w:t>
            </w:r>
          </w:p>
        </w:tc>
        <w:tc>
          <w:tcPr>
            <w:tcW w:w="8728" w:type="dxa"/>
            <w:tcBorders>
              <w:top w:val="nil"/>
              <w:left w:val="nil"/>
              <w:bottom w:val="nil"/>
              <w:right w:val="nil"/>
            </w:tcBorders>
            <w:vAlign w:val="center"/>
          </w:tcPr>
          <w:p w14:paraId="0BFA97DD" w14:textId="58AC5DE0" w:rsidR="008B6842" w:rsidRPr="005C643C" w:rsidRDefault="008B6842" w:rsidP="009A5BBD">
            <w:pPr>
              <w:spacing w:before="0" w:after="0"/>
              <w:rPr>
                <w:rFonts w:ascii="Calibri" w:eastAsia="Times New Roman" w:hAnsi="Calibri" w:cs="Calibri"/>
                <w:color w:val="000000"/>
              </w:rPr>
            </w:pPr>
            <w:r>
              <w:rPr>
                <w:rFonts w:ascii="Calibri" w:eastAsia="Times New Roman" w:hAnsi="Calibri" w:cs="Calibri"/>
                <w:color w:val="000000"/>
              </w:rPr>
              <w:t>Public Private Partnership</w:t>
            </w:r>
          </w:p>
        </w:tc>
      </w:tr>
      <w:tr w:rsidR="007C5443" w:rsidRPr="005C643C" w14:paraId="412D399E" w14:textId="77777777" w:rsidTr="009A5BBD">
        <w:trPr>
          <w:trHeight w:val="300"/>
        </w:trPr>
        <w:tc>
          <w:tcPr>
            <w:tcW w:w="1276" w:type="dxa"/>
            <w:tcBorders>
              <w:top w:val="nil"/>
              <w:left w:val="nil"/>
              <w:bottom w:val="nil"/>
              <w:right w:val="nil"/>
            </w:tcBorders>
            <w:vAlign w:val="center"/>
            <w:hideMark/>
          </w:tcPr>
          <w:p w14:paraId="26F4E25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SFTAS</w:t>
            </w:r>
          </w:p>
        </w:tc>
        <w:tc>
          <w:tcPr>
            <w:tcW w:w="8728" w:type="dxa"/>
            <w:tcBorders>
              <w:top w:val="nil"/>
              <w:left w:val="nil"/>
              <w:bottom w:val="nil"/>
              <w:right w:val="nil"/>
            </w:tcBorders>
            <w:vAlign w:val="center"/>
            <w:hideMark/>
          </w:tcPr>
          <w:p w14:paraId="1B9BC04E"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State Fiscal Transparency Accountability and Sustainability Project</w:t>
            </w:r>
          </w:p>
        </w:tc>
      </w:tr>
      <w:tr w:rsidR="007C5443" w:rsidRPr="005C643C" w14:paraId="643899AA" w14:textId="77777777" w:rsidTr="009A5BBD">
        <w:trPr>
          <w:trHeight w:val="300"/>
        </w:trPr>
        <w:tc>
          <w:tcPr>
            <w:tcW w:w="1276" w:type="dxa"/>
            <w:tcBorders>
              <w:top w:val="nil"/>
              <w:left w:val="nil"/>
              <w:bottom w:val="nil"/>
              <w:right w:val="nil"/>
            </w:tcBorders>
            <w:vAlign w:val="center"/>
            <w:hideMark/>
          </w:tcPr>
          <w:p w14:paraId="7F082E9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SHOA</w:t>
            </w:r>
          </w:p>
        </w:tc>
        <w:tc>
          <w:tcPr>
            <w:tcW w:w="8728" w:type="dxa"/>
            <w:tcBorders>
              <w:top w:val="nil"/>
              <w:left w:val="nil"/>
              <w:bottom w:val="nil"/>
              <w:right w:val="nil"/>
            </w:tcBorders>
            <w:vAlign w:val="center"/>
            <w:hideMark/>
          </w:tcPr>
          <w:p w14:paraId="77F0995E"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State House of Assembly</w:t>
            </w:r>
          </w:p>
        </w:tc>
      </w:tr>
      <w:tr w:rsidR="007C5443" w:rsidRPr="005C643C" w14:paraId="68415E65" w14:textId="77777777" w:rsidTr="009A5BBD">
        <w:trPr>
          <w:trHeight w:val="300"/>
        </w:trPr>
        <w:tc>
          <w:tcPr>
            <w:tcW w:w="1276" w:type="dxa"/>
            <w:tcBorders>
              <w:top w:val="nil"/>
              <w:left w:val="nil"/>
              <w:bottom w:val="nil"/>
              <w:right w:val="nil"/>
            </w:tcBorders>
            <w:vAlign w:val="center"/>
            <w:hideMark/>
          </w:tcPr>
          <w:p w14:paraId="6A6C0BF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STEO</w:t>
            </w:r>
          </w:p>
        </w:tc>
        <w:tc>
          <w:tcPr>
            <w:tcW w:w="8728" w:type="dxa"/>
            <w:tcBorders>
              <w:top w:val="nil"/>
              <w:left w:val="nil"/>
              <w:bottom w:val="nil"/>
              <w:right w:val="nil"/>
            </w:tcBorders>
            <w:vAlign w:val="center"/>
            <w:hideMark/>
          </w:tcPr>
          <w:p w14:paraId="4E13CA3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Short-Term Energy Outlook </w:t>
            </w:r>
          </w:p>
        </w:tc>
      </w:tr>
      <w:tr w:rsidR="007C5443" w:rsidRPr="005C643C" w14:paraId="0F9C027E" w14:textId="77777777" w:rsidTr="009A5BBD">
        <w:trPr>
          <w:trHeight w:val="300"/>
        </w:trPr>
        <w:tc>
          <w:tcPr>
            <w:tcW w:w="1276" w:type="dxa"/>
            <w:tcBorders>
              <w:top w:val="nil"/>
              <w:left w:val="nil"/>
              <w:bottom w:val="nil"/>
              <w:right w:val="nil"/>
            </w:tcBorders>
            <w:vAlign w:val="center"/>
            <w:hideMark/>
          </w:tcPr>
          <w:p w14:paraId="2ECF2E4C"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UBE</w:t>
            </w:r>
          </w:p>
        </w:tc>
        <w:tc>
          <w:tcPr>
            <w:tcW w:w="8728" w:type="dxa"/>
            <w:tcBorders>
              <w:top w:val="nil"/>
              <w:left w:val="nil"/>
              <w:bottom w:val="nil"/>
              <w:right w:val="nil"/>
            </w:tcBorders>
            <w:vAlign w:val="center"/>
            <w:hideMark/>
          </w:tcPr>
          <w:p w14:paraId="5D2FD8C6"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Universal Basic Education</w:t>
            </w:r>
          </w:p>
        </w:tc>
      </w:tr>
      <w:tr w:rsidR="007C5443" w:rsidRPr="005C643C" w14:paraId="37A1D539" w14:textId="77777777" w:rsidTr="009A5BBD">
        <w:trPr>
          <w:trHeight w:val="300"/>
        </w:trPr>
        <w:tc>
          <w:tcPr>
            <w:tcW w:w="1276" w:type="dxa"/>
            <w:tcBorders>
              <w:top w:val="nil"/>
              <w:left w:val="nil"/>
              <w:bottom w:val="nil"/>
              <w:right w:val="nil"/>
            </w:tcBorders>
            <w:vAlign w:val="center"/>
            <w:hideMark/>
          </w:tcPr>
          <w:p w14:paraId="6F185817"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UNICEF</w:t>
            </w:r>
          </w:p>
        </w:tc>
        <w:tc>
          <w:tcPr>
            <w:tcW w:w="8728" w:type="dxa"/>
            <w:tcBorders>
              <w:top w:val="nil"/>
              <w:left w:val="nil"/>
              <w:bottom w:val="nil"/>
              <w:right w:val="nil"/>
            </w:tcBorders>
            <w:vAlign w:val="center"/>
            <w:hideMark/>
          </w:tcPr>
          <w:p w14:paraId="13F84CAA"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 xml:space="preserve">United Nations Children’s Fund </w:t>
            </w:r>
          </w:p>
        </w:tc>
      </w:tr>
      <w:tr w:rsidR="007C5443" w:rsidRPr="005C643C" w14:paraId="0DB32A38" w14:textId="77777777" w:rsidTr="009A5BBD">
        <w:trPr>
          <w:trHeight w:val="300"/>
        </w:trPr>
        <w:tc>
          <w:tcPr>
            <w:tcW w:w="1276" w:type="dxa"/>
            <w:tcBorders>
              <w:top w:val="nil"/>
              <w:left w:val="nil"/>
              <w:bottom w:val="nil"/>
              <w:right w:val="nil"/>
            </w:tcBorders>
            <w:vAlign w:val="center"/>
          </w:tcPr>
          <w:p w14:paraId="567DBFC7"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US</w:t>
            </w:r>
          </w:p>
        </w:tc>
        <w:tc>
          <w:tcPr>
            <w:tcW w:w="8728" w:type="dxa"/>
            <w:tcBorders>
              <w:top w:val="nil"/>
              <w:left w:val="nil"/>
              <w:bottom w:val="nil"/>
              <w:right w:val="nil"/>
            </w:tcBorders>
            <w:vAlign w:val="center"/>
          </w:tcPr>
          <w:p w14:paraId="3133077E" w14:textId="77777777" w:rsidR="007C5443" w:rsidRPr="005C643C" w:rsidRDefault="007C5443" w:rsidP="009A5BBD">
            <w:pPr>
              <w:spacing w:before="0" w:after="0"/>
              <w:rPr>
                <w:rFonts w:ascii="Calibri" w:eastAsia="Times New Roman" w:hAnsi="Calibri" w:cs="Calibri"/>
                <w:color w:val="000000"/>
              </w:rPr>
            </w:pPr>
            <w:r>
              <w:rPr>
                <w:rFonts w:ascii="Calibri" w:eastAsia="Times New Roman" w:hAnsi="Calibri" w:cs="Calibri"/>
                <w:color w:val="000000"/>
              </w:rPr>
              <w:t>United State</w:t>
            </w:r>
          </w:p>
        </w:tc>
      </w:tr>
      <w:tr w:rsidR="007C5443" w:rsidRPr="005C643C" w14:paraId="574487D1" w14:textId="77777777" w:rsidTr="009A5BBD">
        <w:trPr>
          <w:trHeight w:val="300"/>
        </w:trPr>
        <w:tc>
          <w:tcPr>
            <w:tcW w:w="1276" w:type="dxa"/>
            <w:tcBorders>
              <w:top w:val="nil"/>
              <w:left w:val="nil"/>
              <w:bottom w:val="nil"/>
              <w:right w:val="nil"/>
            </w:tcBorders>
            <w:vAlign w:val="center"/>
          </w:tcPr>
          <w:p w14:paraId="2D6757B9" w14:textId="77777777" w:rsidR="007C5443" w:rsidRDefault="007C5443" w:rsidP="009A5BBD">
            <w:pPr>
              <w:spacing w:before="0" w:after="0"/>
              <w:rPr>
                <w:rFonts w:ascii="Calibri" w:eastAsia="Times New Roman" w:hAnsi="Calibri" w:cs="Calibri"/>
                <w:color w:val="000000"/>
              </w:rPr>
            </w:pPr>
            <w:r>
              <w:rPr>
                <w:rFonts w:ascii="Calibri" w:eastAsia="Times New Roman" w:hAnsi="Calibri" w:cs="Calibri"/>
                <w:color w:val="000000"/>
              </w:rPr>
              <w:t>USD</w:t>
            </w:r>
          </w:p>
        </w:tc>
        <w:tc>
          <w:tcPr>
            <w:tcW w:w="8728" w:type="dxa"/>
            <w:tcBorders>
              <w:top w:val="nil"/>
              <w:left w:val="nil"/>
              <w:bottom w:val="nil"/>
              <w:right w:val="nil"/>
            </w:tcBorders>
            <w:vAlign w:val="center"/>
          </w:tcPr>
          <w:p w14:paraId="709D2294" w14:textId="77777777" w:rsidR="007C5443" w:rsidRDefault="007C5443" w:rsidP="009A5BBD">
            <w:pPr>
              <w:spacing w:before="0" w:after="0"/>
              <w:rPr>
                <w:rFonts w:ascii="Calibri" w:eastAsia="Times New Roman" w:hAnsi="Calibri" w:cs="Calibri"/>
                <w:color w:val="000000"/>
              </w:rPr>
            </w:pPr>
            <w:r>
              <w:rPr>
                <w:rFonts w:ascii="Calibri" w:eastAsia="Times New Roman" w:hAnsi="Calibri" w:cs="Calibri"/>
                <w:color w:val="000000"/>
              </w:rPr>
              <w:t>United State Dollars</w:t>
            </w:r>
          </w:p>
        </w:tc>
      </w:tr>
      <w:tr w:rsidR="007C5443" w:rsidRPr="005C643C" w14:paraId="2DD36CEE" w14:textId="77777777" w:rsidTr="009A5BBD">
        <w:trPr>
          <w:trHeight w:val="300"/>
        </w:trPr>
        <w:tc>
          <w:tcPr>
            <w:tcW w:w="1276" w:type="dxa"/>
            <w:tcBorders>
              <w:top w:val="nil"/>
              <w:left w:val="nil"/>
              <w:bottom w:val="nil"/>
              <w:right w:val="nil"/>
            </w:tcBorders>
            <w:vAlign w:val="center"/>
            <w:hideMark/>
          </w:tcPr>
          <w:p w14:paraId="7B1B4719"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VAT</w:t>
            </w:r>
          </w:p>
        </w:tc>
        <w:tc>
          <w:tcPr>
            <w:tcW w:w="8728" w:type="dxa"/>
            <w:tcBorders>
              <w:top w:val="nil"/>
              <w:left w:val="nil"/>
              <w:bottom w:val="nil"/>
              <w:right w:val="nil"/>
            </w:tcBorders>
            <w:vAlign w:val="center"/>
            <w:hideMark/>
          </w:tcPr>
          <w:p w14:paraId="608372AE"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Value Added Tax</w:t>
            </w:r>
          </w:p>
        </w:tc>
      </w:tr>
      <w:tr w:rsidR="00AB74A5" w:rsidRPr="005C643C" w14:paraId="4D597B2F" w14:textId="77777777" w:rsidTr="009A5BBD">
        <w:trPr>
          <w:trHeight w:val="300"/>
        </w:trPr>
        <w:tc>
          <w:tcPr>
            <w:tcW w:w="1276" w:type="dxa"/>
            <w:tcBorders>
              <w:top w:val="nil"/>
              <w:left w:val="nil"/>
              <w:bottom w:val="nil"/>
              <w:right w:val="nil"/>
            </w:tcBorders>
            <w:vAlign w:val="center"/>
          </w:tcPr>
          <w:p w14:paraId="4B0B7E2F" w14:textId="76EC8DFD" w:rsidR="00AB74A5" w:rsidRPr="005C643C" w:rsidRDefault="00AB74A5" w:rsidP="009A5BBD">
            <w:pPr>
              <w:spacing w:before="0" w:after="0"/>
              <w:rPr>
                <w:rFonts w:ascii="Calibri" w:eastAsia="Times New Roman" w:hAnsi="Calibri" w:cs="Calibri"/>
                <w:color w:val="000000"/>
              </w:rPr>
            </w:pPr>
            <w:r>
              <w:rPr>
                <w:rFonts w:ascii="Calibri" w:eastAsia="Times New Roman" w:hAnsi="Calibri" w:cs="Calibri"/>
                <w:color w:val="000000"/>
              </w:rPr>
              <w:t>WASH</w:t>
            </w:r>
          </w:p>
        </w:tc>
        <w:tc>
          <w:tcPr>
            <w:tcW w:w="8728" w:type="dxa"/>
            <w:tcBorders>
              <w:top w:val="nil"/>
              <w:left w:val="nil"/>
              <w:bottom w:val="nil"/>
              <w:right w:val="nil"/>
            </w:tcBorders>
            <w:vAlign w:val="center"/>
          </w:tcPr>
          <w:p w14:paraId="12F49DE1" w14:textId="7A02C637" w:rsidR="00AB74A5" w:rsidRPr="005C643C" w:rsidRDefault="00AB74A5" w:rsidP="009A5BBD">
            <w:pPr>
              <w:spacing w:before="0" w:after="0"/>
              <w:rPr>
                <w:rFonts w:ascii="Calibri" w:eastAsia="Times New Roman" w:hAnsi="Calibri" w:cs="Calibri"/>
                <w:color w:val="000000"/>
              </w:rPr>
            </w:pPr>
            <w:r>
              <w:rPr>
                <w:rFonts w:ascii="Calibri" w:eastAsia="Times New Roman" w:hAnsi="Calibri" w:cs="Calibri"/>
                <w:color w:val="000000"/>
              </w:rPr>
              <w:t xml:space="preserve">Water </w:t>
            </w:r>
            <w:r w:rsidR="00CB325E">
              <w:rPr>
                <w:rFonts w:ascii="Calibri" w:eastAsia="Times New Roman" w:hAnsi="Calibri" w:cs="Calibri"/>
                <w:color w:val="000000"/>
              </w:rPr>
              <w:t>Sanitation and Hygiene</w:t>
            </w:r>
          </w:p>
        </w:tc>
      </w:tr>
      <w:tr w:rsidR="007C5443" w:rsidRPr="005C643C" w14:paraId="7612920F" w14:textId="77777777" w:rsidTr="009A5BBD">
        <w:trPr>
          <w:trHeight w:val="300"/>
        </w:trPr>
        <w:tc>
          <w:tcPr>
            <w:tcW w:w="1276" w:type="dxa"/>
            <w:tcBorders>
              <w:top w:val="nil"/>
              <w:left w:val="nil"/>
              <w:bottom w:val="nil"/>
              <w:right w:val="nil"/>
            </w:tcBorders>
            <w:vAlign w:val="center"/>
            <w:hideMark/>
          </w:tcPr>
          <w:p w14:paraId="2306B9A2"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WEO</w:t>
            </w:r>
          </w:p>
        </w:tc>
        <w:tc>
          <w:tcPr>
            <w:tcW w:w="8728" w:type="dxa"/>
            <w:tcBorders>
              <w:top w:val="nil"/>
              <w:left w:val="nil"/>
              <w:bottom w:val="nil"/>
              <w:right w:val="nil"/>
            </w:tcBorders>
            <w:vAlign w:val="center"/>
            <w:hideMark/>
          </w:tcPr>
          <w:p w14:paraId="540C4727" w14:textId="77777777" w:rsidR="007C5443" w:rsidRPr="005C643C" w:rsidRDefault="007C5443" w:rsidP="009A5BBD">
            <w:pPr>
              <w:spacing w:before="0" w:after="0"/>
              <w:rPr>
                <w:rFonts w:ascii="Calibri" w:eastAsia="Times New Roman" w:hAnsi="Calibri" w:cs="Calibri"/>
                <w:color w:val="000000"/>
              </w:rPr>
            </w:pPr>
            <w:r w:rsidRPr="005C643C">
              <w:rPr>
                <w:rFonts w:ascii="Calibri" w:eastAsia="Times New Roman" w:hAnsi="Calibri" w:cs="Calibri"/>
                <w:color w:val="000000"/>
              </w:rPr>
              <w:t>World Economic Outlook</w:t>
            </w:r>
          </w:p>
        </w:tc>
      </w:tr>
    </w:tbl>
    <w:p w14:paraId="2ECAE086" w14:textId="54EE73FE" w:rsidR="00C72A91" w:rsidRDefault="00C72A91" w:rsidP="00811E5F">
      <w:pPr>
        <w:spacing w:before="0" w:after="200" w:line="276" w:lineRule="auto"/>
        <w:jc w:val="center"/>
      </w:pPr>
      <w:r>
        <w:br w:type="page"/>
      </w:r>
    </w:p>
    <w:p w14:paraId="0B8937C7" w14:textId="48E0B769" w:rsidR="009C40C5" w:rsidRPr="009C40C5" w:rsidRDefault="009C40C5" w:rsidP="009C40C5">
      <w:pPr>
        <w:pStyle w:val="LeaderStyle"/>
        <w:rPr>
          <w:szCs w:val="32"/>
        </w:rPr>
      </w:pPr>
      <w:r w:rsidRPr="009C40C5">
        <w:rPr>
          <w:rFonts w:eastAsiaTheme="minorEastAsia" w:cstheme="minorBidi"/>
          <w:szCs w:val="32"/>
          <w:lang w:eastAsia="en-GB"/>
        </w:rPr>
        <w:lastRenderedPageBreak/>
        <w:t>EXECUTIVE SUMMARY AND ACKNOWEDGEMENTS</w:t>
      </w:r>
      <w:r w:rsidRPr="009C40C5">
        <w:rPr>
          <w:rFonts w:eastAsiaTheme="minorEastAsia" w:cstheme="minorBidi"/>
          <w:szCs w:val="32"/>
          <w:lang w:eastAsia="en-GB"/>
        </w:rPr>
        <w:br/>
      </w:r>
    </w:p>
    <w:p w14:paraId="2A2D7216" w14:textId="77777777" w:rsidR="009C40C5" w:rsidRPr="009C40C5" w:rsidRDefault="009C40C5" w:rsidP="00FF0260">
      <w:pPr>
        <w:numPr>
          <w:ilvl w:val="0"/>
          <w:numId w:val="24"/>
        </w:numPr>
        <w:rPr>
          <w:b/>
          <w:lang w:val="en-US"/>
        </w:rPr>
      </w:pPr>
      <w:r w:rsidRPr="009C40C5">
        <w:rPr>
          <w:b/>
          <w:lang w:val="en-US"/>
        </w:rPr>
        <w:t>Purpose &amp; Scope</w:t>
      </w:r>
    </w:p>
    <w:p w14:paraId="2C7E7096" w14:textId="48BB6232" w:rsidR="009C40C5" w:rsidRPr="009C40C5" w:rsidRDefault="009A5BBD" w:rsidP="009C40C5">
      <w:pPr>
        <w:rPr>
          <w:lang w:val="en-US"/>
        </w:rPr>
      </w:pPr>
      <w:r>
        <w:rPr>
          <w:lang w:val="en-US"/>
        </w:rPr>
        <w:t>The</w:t>
      </w:r>
      <w:r w:rsidR="009C40C5" w:rsidRPr="009C40C5">
        <w:rPr>
          <w:lang w:val="en-US"/>
        </w:rPr>
        <w:t xml:space="preserve"> Medium</w:t>
      </w:r>
      <w:r w:rsidR="009C40C5" w:rsidRPr="009C40C5">
        <w:rPr>
          <w:lang w:val="en-US"/>
        </w:rPr>
        <w:noBreakHyphen/>
        <w:t>Term Expenditure Fr</w:t>
      </w:r>
      <w:r>
        <w:rPr>
          <w:lang w:val="en-US"/>
        </w:rPr>
        <w:t>amework (MTEF) document covers</w:t>
      </w:r>
      <w:r w:rsidR="009C40C5" w:rsidRPr="009C40C5">
        <w:rPr>
          <w:lang w:val="en-US"/>
        </w:rPr>
        <w:t xml:space="preserve"> fiscal </w:t>
      </w:r>
      <w:r>
        <w:rPr>
          <w:lang w:val="en-US"/>
        </w:rPr>
        <w:t>years 2027 to 2029</w:t>
      </w:r>
      <w:r w:rsidR="009C40C5" w:rsidRPr="009C40C5">
        <w:rPr>
          <w:lang w:val="en-US"/>
        </w:rPr>
        <w:t xml:space="preserve"> for Benue State. This three</w:t>
      </w:r>
      <w:r w:rsidR="009C40C5" w:rsidRPr="009C40C5">
        <w:rPr>
          <w:lang w:val="en-US"/>
        </w:rPr>
        <w:noBreakHyphen/>
        <w:t>year e</w:t>
      </w:r>
      <w:r>
        <w:rPr>
          <w:lang w:val="en-US"/>
        </w:rPr>
        <w:t>xpenditure blueprint is predicated</w:t>
      </w:r>
      <w:r w:rsidR="009C40C5" w:rsidRPr="009C40C5">
        <w:rPr>
          <w:lang w:val="en-US"/>
        </w:rPr>
        <w:t xml:space="preserve"> on the State’s vision for inclusive growth, improved service delivery and sustainable development. Guided by the broader framework of the 10</w:t>
      </w:r>
      <w:r w:rsidR="009C40C5" w:rsidRPr="009C40C5">
        <w:rPr>
          <w:lang w:val="en-US"/>
        </w:rPr>
        <w:noBreakHyphen/>
        <w:t>year</w:t>
      </w:r>
      <w:r w:rsidR="00B7752B">
        <w:rPr>
          <w:lang w:val="en-US"/>
        </w:rPr>
        <w:t xml:space="preserve"> Benue</w:t>
      </w:r>
      <w:r w:rsidR="009C40C5" w:rsidRPr="009C40C5">
        <w:rPr>
          <w:lang w:val="en-US"/>
        </w:rPr>
        <w:t xml:space="preserve"> State Development Plan (2025</w:t>
      </w:r>
      <w:r w:rsidR="009C40C5" w:rsidRPr="009C40C5">
        <w:rPr>
          <w:lang w:val="en-US"/>
        </w:rPr>
        <w:noBreakHyphen/>
        <w:t>2034), the MTEF seeks to translat</w:t>
      </w:r>
      <w:r w:rsidR="00B7752B">
        <w:rPr>
          <w:lang w:val="en-US"/>
        </w:rPr>
        <w:t>e policy objectives</w:t>
      </w:r>
      <w:r w:rsidR="009C40C5" w:rsidRPr="009C40C5">
        <w:rPr>
          <w:lang w:val="en-US"/>
        </w:rPr>
        <w:t xml:space="preserve"> into credible resource allocat</w:t>
      </w:r>
      <w:r w:rsidR="00B7752B">
        <w:rPr>
          <w:lang w:val="en-US"/>
        </w:rPr>
        <w:t>ions and actionable priority projects across the state.</w:t>
      </w:r>
    </w:p>
    <w:p w14:paraId="09B205FC" w14:textId="2B5293FF" w:rsidR="009C40C5" w:rsidRPr="009C40C5" w:rsidRDefault="009C40C5" w:rsidP="009C40C5">
      <w:pPr>
        <w:rPr>
          <w:lang w:val="en-US"/>
        </w:rPr>
      </w:pPr>
      <w:r w:rsidRPr="009C40C5">
        <w:rPr>
          <w:lang w:val="en-US"/>
        </w:rPr>
        <w:t>The Medium-Term Expenditure Framework (MTEF) represents a strategic approach to public financial management that aims to improv</w:t>
      </w:r>
      <w:r w:rsidR="00B7752B">
        <w:rPr>
          <w:lang w:val="en-US"/>
        </w:rPr>
        <w:t xml:space="preserve">e the alignment between policy </w:t>
      </w:r>
      <w:r w:rsidRPr="009C40C5">
        <w:rPr>
          <w:lang w:val="en-US"/>
        </w:rPr>
        <w:t>priorities, planning, and bud</w:t>
      </w:r>
      <w:r w:rsidR="00B7752B">
        <w:rPr>
          <w:lang w:val="en-US"/>
        </w:rPr>
        <w:t>geting over a multi-year period</w:t>
      </w:r>
      <w:r w:rsidRPr="009C40C5">
        <w:rPr>
          <w:lang w:val="en-US"/>
        </w:rPr>
        <w:t>. By integrating fiscal discipline, strategic resource allocation, and efficient service delivery, the MTEF supports the achievement of sustainable development outcomes.</w:t>
      </w:r>
    </w:p>
    <w:p w14:paraId="0D9C3FB5" w14:textId="0E27C689" w:rsidR="009C40C5" w:rsidRPr="009C40C5" w:rsidRDefault="009C40C5" w:rsidP="009C40C5">
      <w:pPr>
        <w:rPr>
          <w:lang w:val="en-US"/>
        </w:rPr>
      </w:pPr>
      <w:r w:rsidRPr="009C40C5">
        <w:rPr>
          <w:lang w:val="en-US"/>
        </w:rPr>
        <w:t>This document sets out the government's fiscal outlook and expenditure priorities for the next three years, providing a transparent and credible basis for budget formulation. It reflects our commitment to fiscal responsibility, macroeconomic stability, and the effective use of public resources to</w:t>
      </w:r>
      <w:r w:rsidR="00B7752B">
        <w:rPr>
          <w:lang w:val="en-US"/>
        </w:rPr>
        <w:t xml:space="preserve"> deliver on state </w:t>
      </w:r>
      <w:r w:rsidRPr="009C40C5">
        <w:rPr>
          <w:lang w:val="en-US"/>
        </w:rPr>
        <w:t>priorities.</w:t>
      </w:r>
    </w:p>
    <w:p w14:paraId="3E44CE35" w14:textId="77777777" w:rsidR="009C40C5" w:rsidRPr="009C40C5" w:rsidRDefault="009C40C5" w:rsidP="009C40C5">
      <w:pPr>
        <w:rPr>
          <w:lang w:val="en-US"/>
        </w:rPr>
      </w:pPr>
      <w:r w:rsidRPr="009C40C5">
        <w:rPr>
          <w:lang w:val="en-US"/>
        </w:rPr>
        <w:t>The MTEF also serves as a tool to promote accountability, enabling policymakers, stakeholders, and citizens to understand how resources are allocated in line with policy objectives. It encourages a culture of planning and performance, where budget decisions are informed by results and long-term implications.</w:t>
      </w:r>
    </w:p>
    <w:p w14:paraId="70A79DB8" w14:textId="146BED8C" w:rsidR="009C40C5" w:rsidRDefault="00B7752B" w:rsidP="009C40C5">
      <w:pPr>
        <w:rPr>
          <w:lang w:val="en-US"/>
        </w:rPr>
      </w:pPr>
      <w:r>
        <w:rPr>
          <w:lang w:val="en-US"/>
        </w:rPr>
        <w:t>Summarily, the 2027–2029</w:t>
      </w:r>
      <w:r w:rsidR="009C40C5" w:rsidRPr="009C40C5">
        <w:rPr>
          <w:lang w:val="en-US"/>
        </w:rPr>
        <w:t xml:space="preserve"> Medium</w:t>
      </w:r>
      <w:r w:rsidR="009C40C5" w:rsidRPr="009C40C5">
        <w:rPr>
          <w:lang w:val="en-US"/>
        </w:rPr>
        <w:noBreakHyphen/>
        <w:t>Term Expenditure Framework (MTEF) provides a rolling three</w:t>
      </w:r>
      <w:r w:rsidR="009C40C5" w:rsidRPr="009C40C5">
        <w:rPr>
          <w:lang w:val="en-US"/>
        </w:rPr>
        <w:noBreakHyphen/>
        <w:t>year fiscal planning instrument for Benue State, designed to link broad strategic priorities with resource allocation decisions. It sets out sectoral spending limits, revenue estimates and fiscal policy</w:t>
      </w:r>
      <w:r>
        <w:rPr>
          <w:lang w:val="en-US"/>
        </w:rPr>
        <w:t xml:space="preserve"> assumptions for the period 2027 through 2029</w:t>
      </w:r>
      <w:r w:rsidR="009C40C5" w:rsidRPr="009C40C5">
        <w:rPr>
          <w:lang w:val="en-US"/>
        </w:rPr>
        <w:t>.</w:t>
      </w:r>
    </w:p>
    <w:p w14:paraId="331AF8B0" w14:textId="77777777" w:rsidR="00EC2AC7" w:rsidRPr="009C40C5" w:rsidRDefault="00EC2AC7" w:rsidP="009C40C5">
      <w:pPr>
        <w:rPr>
          <w:lang w:val="en-US"/>
        </w:rPr>
      </w:pPr>
    </w:p>
    <w:p w14:paraId="695A8D35" w14:textId="77777777" w:rsidR="009C40C5" w:rsidRPr="009C40C5" w:rsidRDefault="009C40C5" w:rsidP="00FF0260">
      <w:pPr>
        <w:numPr>
          <w:ilvl w:val="0"/>
          <w:numId w:val="24"/>
        </w:numPr>
        <w:rPr>
          <w:b/>
          <w:lang w:val="en-US"/>
        </w:rPr>
      </w:pPr>
      <w:r w:rsidRPr="009C40C5">
        <w:rPr>
          <w:b/>
          <w:lang w:val="en-US"/>
        </w:rPr>
        <w:t>Risk Management &amp; Fiscal Sustainability</w:t>
      </w:r>
    </w:p>
    <w:p w14:paraId="51E823B6" w14:textId="6EC9F468" w:rsidR="009C40C5" w:rsidRPr="009C40C5" w:rsidRDefault="009C40C5" w:rsidP="009C40C5">
      <w:pPr>
        <w:rPr>
          <w:lang w:val="en-US"/>
        </w:rPr>
      </w:pPr>
      <w:r w:rsidRPr="009C40C5">
        <w:rPr>
          <w:lang w:val="en-US"/>
        </w:rPr>
        <w:t>The MTEF emphasizes the need for risk</w:t>
      </w:r>
      <w:r w:rsidRPr="009C40C5">
        <w:rPr>
          <w:lang w:val="en-US"/>
        </w:rPr>
        <w:noBreakHyphen/>
        <w:t xml:space="preserve">sensitive planning: identifying shocks (e.g., revenue shortfalls, inflation, exchange rate volatility), building buffers, and ensuring debt and contingent liabilities </w:t>
      </w:r>
      <w:r w:rsidR="00B7752B">
        <w:rPr>
          <w:lang w:val="en-US"/>
        </w:rPr>
        <w:t>remain within sustainable boundary</w:t>
      </w:r>
      <w:r w:rsidRPr="009C40C5">
        <w:rPr>
          <w:lang w:val="en-US"/>
        </w:rPr>
        <w:t>. The framework tasks MDAs and the Budget Office with periodic r</w:t>
      </w:r>
      <w:r w:rsidR="00301E04">
        <w:rPr>
          <w:lang w:val="en-US"/>
        </w:rPr>
        <w:t>eview and adjusting course whenever there are changes in the macro-economic assumptions</w:t>
      </w:r>
      <w:r w:rsidRPr="009C40C5">
        <w:rPr>
          <w:lang w:val="en-US"/>
        </w:rPr>
        <w:t>.</w:t>
      </w:r>
    </w:p>
    <w:p w14:paraId="51AEE7D0" w14:textId="77777777" w:rsidR="009C40C5" w:rsidRPr="009C40C5" w:rsidRDefault="009C40C5" w:rsidP="009C40C5">
      <w:pPr>
        <w:rPr>
          <w:lang w:val="en-US"/>
        </w:rPr>
      </w:pPr>
    </w:p>
    <w:p w14:paraId="3E000994" w14:textId="77777777" w:rsidR="009C40C5" w:rsidRPr="009C40C5" w:rsidRDefault="009C40C5" w:rsidP="00FF0260">
      <w:pPr>
        <w:numPr>
          <w:ilvl w:val="0"/>
          <w:numId w:val="24"/>
        </w:numPr>
        <w:rPr>
          <w:b/>
          <w:lang w:val="en-US"/>
        </w:rPr>
      </w:pPr>
      <w:r w:rsidRPr="009C40C5">
        <w:rPr>
          <w:b/>
          <w:lang w:val="en-US"/>
        </w:rPr>
        <w:t>Economic and Fiscal Context</w:t>
      </w:r>
    </w:p>
    <w:p w14:paraId="227C45A3" w14:textId="59D2523B" w:rsidR="009C40C5" w:rsidRPr="009C40C5" w:rsidRDefault="009C40C5" w:rsidP="009C40C5">
      <w:pPr>
        <w:rPr>
          <w:lang w:val="en-US"/>
        </w:rPr>
      </w:pPr>
      <w:r w:rsidRPr="009C40C5">
        <w:rPr>
          <w:lang w:val="en-US"/>
        </w:rPr>
        <w:t>Benue State operates within a national and global environment of heightened uncertainty, including inflationary pressures, fluctuations in federal transfers and evolving fiscal rules. State Governments are encouraged to adopt realistic assumptions on revenue growth, expenditure commitments and borrowing. To this extent, key contextual factors include, the need to diversify the economy beyond traditional sectors and boost internally generated revenue; Rising demands on social services, infrastructure gaps and the imperative of poverty reduction; the importance of maintaining debt sustainability and ensuring that capital expenditure is effective and well</w:t>
      </w:r>
      <w:r w:rsidRPr="009C40C5">
        <w:rPr>
          <w:lang w:val="en-US"/>
        </w:rPr>
        <w:noBreakHyphen/>
        <w:t>targeted.</w:t>
      </w:r>
    </w:p>
    <w:p w14:paraId="14885403" w14:textId="08D5300C" w:rsidR="009C40C5" w:rsidRDefault="009C40C5" w:rsidP="009C40C5">
      <w:pPr>
        <w:rPr>
          <w:lang w:val="en-US"/>
        </w:rPr>
      </w:pPr>
      <w:r w:rsidRPr="009C40C5">
        <w:rPr>
          <w:lang w:val="en-US"/>
        </w:rPr>
        <w:t>The global and national economic environment within which this MTEF has been prepared remains challenging. Revenue volatility, inflationary pressures and compe</w:t>
      </w:r>
      <w:r w:rsidR="00301E04">
        <w:rPr>
          <w:lang w:val="en-US"/>
        </w:rPr>
        <w:t>ting demands on the public funds</w:t>
      </w:r>
      <w:r w:rsidRPr="009C40C5">
        <w:rPr>
          <w:lang w:val="en-US"/>
        </w:rPr>
        <w:t xml:space="preserve"> require disciplined fiscal policy, selectivity in </w:t>
      </w:r>
      <w:proofErr w:type="spellStart"/>
      <w:r w:rsidRPr="009C40C5">
        <w:rPr>
          <w:lang w:val="en-US"/>
        </w:rPr>
        <w:t>programme</w:t>
      </w:r>
      <w:proofErr w:type="spellEnd"/>
      <w:r w:rsidRPr="009C40C5">
        <w:rPr>
          <w:lang w:val="en-US"/>
        </w:rPr>
        <w:t xml:space="preserve"> design and strong institutional accountability. The Advisory Note issued by the Nigerian Governors’ Forum emphasizes the importance of realistic revenue projections, prioritized capital investment and strengthened public f</w:t>
      </w:r>
      <w:r w:rsidR="00301E04">
        <w:rPr>
          <w:lang w:val="en-US"/>
        </w:rPr>
        <w:t>inancial management for the 2027</w:t>
      </w:r>
      <w:r w:rsidR="00301E04">
        <w:rPr>
          <w:lang w:val="en-US"/>
        </w:rPr>
        <w:noBreakHyphen/>
        <w:t>2029</w:t>
      </w:r>
      <w:r w:rsidRPr="009C40C5">
        <w:rPr>
          <w:lang w:val="en-US"/>
        </w:rPr>
        <w:t xml:space="preserve"> period. </w:t>
      </w:r>
    </w:p>
    <w:p w14:paraId="59B26D28" w14:textId="77777777" w:rsidR="00EC2AC7" w:rsidRPr="009C40C5" w:rsidRDefault="00EC2AC7" w:rsidP="009C40C5">
      <w:pPr>
        <w:rPr>
          <w:lang w:val="en-US"/>
        </w:rPr>
      </w:pPr>
    </w:p>
    <w:p w14:paraId="4D0BA9BE" w14:textId="77777777" w:rsidR="009C40C5" w:rsidRPr="009C40C5" w:rsidRDefault="009C40C5" w:rsidP="00FF0260">
      <w:pPr>
        <w:numPr>
          <w:ilvl w:val="0"/>
          <w:numId w:val="24"/>
        </w:numPr>
        <w:rPr>
          <w:b/>
          <w:lang w:val="en-US"/>
        </w:rPr>
      </w:pPr>
      <w:r w:rsidRPr="009C40C5">
        <w:rPr>
          <w:b/>
          <w:lang w:val="en-US"/>
        </w:rPr>
        <w:t>Fiscal Strategy &amp; Policy Priorities</w:t>
      </w:r>
    </w:p>
    <w:p w14:paraId="537BAFC5" w14:textId="77777777" w:rsidR="009C40C5" w:rsidRPr="009C40C5" w:rsidRDefault="009C40C5" w:rsidP="009C40C5">
      <w:pPr>
        <w:rPr>
          <w:lang w:val="en-US"/>
        </w:rPr>
      </w:pPr>
      <w:r w:rsidRPr="009C40C5">
        <w:rPr>
          <w:lang w:val="en-US"/>
        </w:rPr>
        <w:lastRenderedPageBreak/>
        <w:t>The fiscal strategy for Benue State over the medium term is premised upon: Consolidation of recurrent expenditure so as to free space for high</w:t>
      </w:r>
      <w:r w:rsidRPr="009C40C5">
        <w:rPr>
          <w:lang w:val="en-US"/>
        </w:rPr>
        <w:noBreakHyphen/>
        <w:t>impact capital spending; Prioritizing investments that stimulate productivity, notably in agriculture/value</w:t>
      </w:r>
      <w:r w:rsidRPr="009C40C5">
        <w:rPr>
          <w:lang w:val="en-US"/>
        </w:rPr>
        <w:noBreakHyphen/>
        <w:t>chains, education/skills, health infrastructure and rural access; Improving efficiency and transparency in public sector spending, including through monitoring and evaluation systems; Enhancing revenue mobilization, including through strengthening the state’s internally generated revenue (IGR) base and prudent management of federal allocations.</w:t>
      </w:r>
    </w:p>
    <w:p w14:paraId="4B12F8ED" w14:textId="6A605DAB" w:rsidR="009C40C5" w:rsidRDefault="009C40C5" w:rsidP="009C40C5">
      <w:pPr>
        <w:rPr>
          <w:lang w:val="en-US"/>
        </w:rPr>
      </w:pPr>
      <w:r w:rsidRPr="009C40C5">
        <w:rPr>
          <w:lang w:val="en-US"/>
        </w:rPr>
        <w:t>In this light, the MTEF sets out aggregate expenditure ceilings, recurrent and capital envelopes, revenue forecasts and risk</w:t>
      </w:r>
      <w:r w:rsidRPr="009C40C5">
        <w:rPr>
          <w:lang w:val="en-US"/>
        </w:rPr>
        <w:noBreakHyphen/>
        <w:t>tolerance parameters over the medium term. These provide a planning horizon beyond the annual budget cycle, enabling the Government, MDAs and stakeholders to align investment choices, policy initiative</w:t>
      </w:r>
      <w:r w:rsidR="002E3C33">
        <w:rPr>
          <w:lang w:val="en-US"/>
        </w:rPr>
        <w:t xml:space="preserve">s and </w:t>
      </w:r>
      <w:proofErr w:type="spellStart"/>
      <w:r w:rsidR="002E3C33">
        <w:rPr>
          <w:lang w:val="en-US"/>
        </w:rPr>
        <w:t>programme</w:t>
      </w:r>
      <w:proofErr w:type="spellEnd"/>
      <w:r w:rsidR="002E3C33">
        <w:rPr>
          <w:lang w:val="en-US"/>
        </w:rPr>
        <w:t xml:space="preserve"> sustainability with the available resources.</w:t>
      </w:r>
    </w:p>
    <w:p w14:paraId="32A75E1D" w14:textId="77777777" w:rsidR="00EC2AC7" w:rsidRPr="009C40C5" w:rsidRDefault="00EC2AC7" w:rsidP="009C40C5">
      <w:pPr>
        <w:rPr>
          <w:lang w:val="en-US"/>
        </w:rPr>
      </w:pPr>
    </w:p>
    <w:p w14:paraId="31E46634" w14:textId="77777777" w:rsidR="009C40C5" w:rsidRPr="009C40C5" w:rsidRDefault="009C40C5" w:rsidP="00FF0260">
      <w:pPr>
        <w:numPr>
          <w:ilvl w:val="0"/>
          <w:numId w:val="24"/>
        </w:numPr>
        <w:rPr>
          <w:lang w:val="en-US"/>
        </w:rPr>
      </w:pPr>
      <w:r w:rsidRPr="009C40C5">
        <w:rPr>
          <w:b/>
          <w:lang w:val="en-US"/>
        </w:rPr>
        <w:t>Sectoral Priorities &amp; Investment Focus</w:t>
      </w:r>
    </w:p>
    <w:p w14:paraId="2231A505" w14:textId="581E788C" w:rsidR="009C40C5" w:rsidRPr="009C40C5" w:rsidRDefault="009C40C5" w:rsidP="009C40C5">
      <w:pPr>
        <w:rPr>
          <w:lang w:val="en-US"/>
        </w:rPr>
      </w:pPr>
      <w:r w:rsidRPr="009C40C5">
        <w:rPr>
          <w:lang w:val="en-US"/>
        </w:rPr>
        <w:t>The MTEF reflects Benue State’s sectoral priorities as captured in its broader development plan. Over the coming three years, the State will focus on the following key areas of emphasis to include: Agriculture and agro</w:t>
      </w:r>
      <w:r w:rsidRPr="009C40C5">
        <w:rPr>
          <w:lang w:val="en-US"/>
        </w:rPr>
        <w:noBreakHyphen/>
        <w:t>processing: Given Benue’s designation as the “food basket” of the Nation, investment in modern farming methods, value chain linkages, market access and processing infrastructure is imperative; Education and human capital development: Expansion of access, improvement in quality, completion of ongoing projects and teacher professional development; Health and nutrition: Strengthening primary healthcare, reducing malnutrition, improving maternal and child health outcomes, and completing deferred infrastructure. For example, the State’s multi</w:t>
      </w:r>
      <w:r w:rsidRPr="009C40C5">
        <w:rPr>
          <w:lang w:val="en-US"/>
        </w:rPr>
        <w:noBreakHyphen/>
        <w:t>sectoral plan for food and nutrition indicates significant investment over a four</w:t>
      </w:r>
      <w:r w:rsidRPr="009C40C5">
        <w:rPr>
          <w:lang w:val="en-US"/>
        </w:rPr>
        <w:noBreakHyphen/>
        <w:t>year period; Physical infrastructure: Roads (rural/urban) and associated transportation networks, rural electrification, water supply and sanitation — to enhance connectivity and livelihoods; Social protection and inclusive growth: Implementing policies to reduce vulnerability, enhance social safety nets, and promote economic inclusion.</w:t>
      </w:r>
    </w:p>
    <w:p w14:paraId="65947945" w14:textId="77777777" w:rsidR="009C40C5" w:rsidRPr="009C40C5" w:rsidRDefault="009C40C5" w:rsidP="009C40C5">
      <w:pPr>
        <w:rPr>
          <w:lang w:val="en-US"/>
        </w:rPr>
      </w:pPr>
    </w:p>
    <w:p w14:paraId="0BFD3EB6" w14:textId="77777777" w:rsidR="009C40C5" w:rsidRPr="009C40C5" w:rsidRDefault="009C40C5" w:rsidP="00FF0260">
      <w:pPr>
        <w:numPr>
          <w:ilvl w:val="0"/>
          <w:numId w:val="24"/>
        </w:numPr>
        <w:rPr>
          <w:b/>
          <w:lang w:val="en-US"/>
        </w:rPr>
      </w:pPr>
      <w:r w:rsidRPr="009C40C5">
        <w:rPr>
          <w:b/>
          <w:lang w:val="en-US"/>
        </w:rPr>
        <w:t>Implementation, Monitoring and Evaluation</w:t>
      </w:r>
    </w:p>
    <w:p w14:paraId="0D5B7C26" w14:textId="0C168CA6" w:rsidR="009C40C5" w:rsidRPr="009C40C5" w:rsidRDefault="009C40C5" w:rsidP="009C40C5">
      <w:pPr>
        <w:rPr>
          <w:lang w:val="en-US"/>
        </w:rPr>
      </w:pPr>
      <w:r w:rsidRPr="009C40C5">
        <w:rPr>
          <w:lang w:val="en-US"/>
        </w:rPr>
        <w:t>For the MTEF to translate into real outcomes, robust implementation mechanisms are required. These include: Clear identification of programs/projects linked to budget allocations; Performance indicators and milestones for each major investment or policy area; Annual reviews and updates of the MTEF envelope, allowing adjustments as conditions change; Transparent reporting to the State House of Assembly and public disclosure of results.</w:t>
      </w:r>
    </w:p>
    <w:p w14:paraId="09B681D8" w14:textId="77777777" w:rsidR="009C40C5" w:rsidRPr="009C40C5" w:rsidRDefault="009C40C5" w:rsidP="009C40C5">
      <w:pPr>
        <w:rPr>
          <w:lang w:val="en-US"/>
        </w:rPr>
      </w:pPr>
    </w:p>
    <w:p w14:paraId="399FEC3F" w14:textId="77777777" w:rsidR="009C40C5" w:rsidRPr="009C40C5" w:rsidRDefault="009C40C5" w:rsidP="00FF0260">
      <w:pPr>
        <w:numPr>
          <w:ilvl w:val="0"/>
          <w:numId w:val="24"/>
        </w:numPr>
        <w:rPr>
          <w:lang w:val="en-US"/>
        </w:rPr>
      </w:pPr>
      <w:r w:rsidRPr="009C40C5">
        <w:rPr>
          <w:b/>
          <w:lang w:val="en-US"/>
        </w:rPr>
        <w:t>Expected Outcomes &amp; Medium</w:t>
      </w:r>
      <w:r w:rsidRPr="009C40C5">
        <w:rPr>
          <w:b/>
          <w:lang w:val="en-US"/>
        </w:rPr>
        <w:noBreakHyphen/>
        <w:t>Term Impacts</w:t>
      </w:r>
    </w:p>
    <w:p w14:paraId="4737103E" w14:textId="09B8A820" w:rsidR="009C40C5" w:rsidRDefault="009C40C5" w:rsidP="009C40C5">
      <w:pPr>
        <w:rPr>
          <w:lang w:val="en-US"/>
        </w:rPr>
      </w:pPr>
      <w:r w:rsidRPr="009C40C5">
        <w:rPr>
          <w:lang w:val="en-US"/>
        </w:rPr>
        <w:t>Over the three</w:t>
      </w:r>
      <w:r w:rsidRPr="009C40C5">
        <w:rPr>
          <w:lang w:val="en-US"/>
        </w:rPr>
        <w:noBreakHyphen/>
        <w:t>year horizon, the State expects to: Increase the ratio of capital expenditure to total expenditure, thereby accelerating infrastructure delivery and closing service</w:t>
      </w:r>
      <w:r w:rsidRPr="009C40C5">
        <w:rPr>
          <w:lang w:val="en-US"/>
        </w:rPr>
        <w:noBreakHyphen/>
        <w:t>delivery gaps; Improve agricultural productivity and value</w:t>
      </w:r>
      <w:r w:rsidRPr="009C40C5">
        <w:rPr>
          <w:lang w:val="en-US"/>
        </w:rPr>
        <w:noBreakHyphen/>
        <w:t>chain participation, thereby boosting economic growth and employment; Enhance human development indicators (e.g., nutrition, health outcomes, education quality); Strengthen fiscal resilience through diversified revenue and improved expenditure efficiency; Lay the foundation for the longer</w:t>
      </w:r>
      <w:r w:rsidRPr="009C40C5">
        <w:rPr>
          <w:lang w:val="en-US"/>
        </w:rPr>
        <w:noBreakHyphen/>
        <w:t>term aims of the 10</w:t>
      </w:r>
      <w:r w:rsidRPr="009C40C5">
        <w:rPr>
          <w:lang w:val="en-US"/>
        </w:rPr>
        <w:noBreakHyphen/>
        <w:t>year State Development Plan (2025</w:t>
      </w:r>
      <w:r w:rsidRPr="009C40C5">
        <w:rPr>
          <w:lang w:val="en-US"/>
        </w:rPr>
        <w:noBreakHyphen/>
        <w:t>2034).</w:t>
      </w:r>
    </w:p>
    <w:p w14:paraId="3BB4AF07" w14:textId="77777777" w:rsidR="009C40C5" w:rsidRPr="009C40C5" w:rsidRDefault="009C40C5" w:rsidP="00FF0260">
      <w:pPr>
        <w:numPr>
          <w:ilvl w:val="0"/>
          <w:numId w:val="24"/>
        </w:numPr>
        <w:rPr>
          <w:b/>
          <w:lang w:val="en-US"/>
        </w:rPr>
      </w:pPr>
      <w:r w:rsidRPr="009C40C5">
        <w:rPr>
          <w:b/>
          <w:lang w:val="en-US"/>
        </w:rPr>
        <w:t>Revenue Projections &amp; Aggregate Expenditure Ceilings</w:t>
      </w:r>
    </w:p>
    <w:p w14:paraId="1DAB76FD" w14:textId="2E45E691" w:rsidR="009C40C5" w:rsidRPr="009C40C5" w:rsidRDefault="009C40C5" w:rsidP="009C40C5">
      <w:pPr>
        <w:rPr>
          <w:lang w:val="en-US"/>
        </w:rPr>
      </w:pPr>
      <w:r w:rsidRPr="009C40C5">
        <w:rPr>
          <w:lang w:val="en-US"/>
        </w:rPr>
        <w:t>While specific and detaile</w:t>
      </w:r>
      <w:r w:rsidR="002E3C33">
        <w:rPr>
          <w:lang w:val="en-US"/>
        </w:rPr>
        <w:t>d figures for Benue State’s 2027–2029</w:t>
      </w:r>
      <w:r w:rsidRPr="009C40C5">
        <w:rPr>
          <w:lang w:val="en-US"/>
        </w:rPr>
        <w:t xml:space="preserve"> revenue and spending envelopes are not publicly disclosed in this summary, the framework is guided by the same principles applied across states: realistic forecasting, allowance for shocks, and prudent fiscal margins. For example, national guidance suggests that states project Federation Account Allocation Committee (FAAC) receipts and VAT shares conservatively within the framework. The aggregate expenditure ceiling sets separate envelopes for recurrent and capital expenditure, with a growing share of capital spending targeted in the latter years of the period, consistent with the need to build infrastructure and enhance service delivery.</w:t>
      </w:r>
    </w:p>
    <w:p w14:paraId="6B64F851" w14:textId="77777777" w:rsidR="009C40C5" w:rsidRPr="009C40C5" w:rsidRDefault="009C40C5" w:rsidP="00FF0260">
      <w:pPr>
        <w:numPr>
          <w:ilvl w:val="0"/>
          <w:numId w:val="24"/>
        </w:numPr>
        <w:rPr>
          <w:lang w:val="en-US"/>
        </w:rPr>
      </w:pPr>
      <w:r w:rsidRPr="009C40C5">
        <w:rPr>
          <w:b/>
          <w:bCs/>
          <w:lang w:val="en-US"/>
        </w:rPr>
        <w:lastRenderedPageBreak/>
        <w:t>Acknowledgments</w:t>
      </w:r>
    </w:p>
    <w:p w14:paraId="1B972407" w14:textId="77777777" w:rsidR="009C40C5" w:rsidRPr="009C40C5" w:rsidRDefault="009C40C5" w:rsidP="009C40C5">
      <w:pPr>
        <w:rPr>
          <w:lang w:val="en-US"/>
        </w:rPr>
      </w:pPr>
      <w:r w:rsidRPr="009C40C5">
        <w:rPr>
          <w:lang w:val="en-US"/>
        </w:rPr>
        <w:t xml:space="preserve">The preparation of this Medium-Term Expenditure Framework (MTEF) would not have been possible without the support, collaboration, and contributions of various individuals and institutions. </w:t>
      </w:r>
    </w:p>
    <w:p w14:paraId="104DE9E7" w14:textId="77777777" w:rsidR="009C40C5" w:rsidRPr="009C40C5" w:rsidRDefault="009C40C5" w:rsidP="009C40C5">
      <w:pPr>
        <w:rPr>
          <w:lang w:val="en-US"/>
        </w:rPr>
      </w:pPr>
      <w:r w:rsidRPr="009C40C5">
        <w:rPr>
          <w:lang w:val="en-US"/>
        </w:rPr>
        <w:t xml:space="preserve">We express our profound gratitude to the Executive Governor of Benue State, His Excellency Rev. Fr. Dr. Hyacinth </w:t>
      </w:r>
      <w:proofErr w:type="spellStart"/>
      <w:r w:rsidRPr="009C40C5">
        <w:rPr>
          <w:lang w:val="en-US"/>
        </w:rPr>
        <w:t>Iormem</w:t>
      </w:r>
      <w:proofErr w:type="spellEnd"/>
      <w:r w:rsidRPr="009C40C5">
        <w:rPr>
          <w:lang w:val="en-US"/>
        </w:rPr>
        <w:t xml:space="preserve"> Alia for providing the enabling environment as well as counterpart funding towards the framing of this document, without whose support, this document would not have seen the light of the day.</w:t>
      </w:r>
    </w:p>
    <w:p w14:paraId="1812EFBA" w14:textId="77777777" w:rsidR="009C40C5" w:rsidRPr="009C40C5" w:rsidRDefault="009C40C5" w:rsidP="009C40C5">
      <w:pPr>
        <w:rPr>
          <w:lang w:val="en-US"/>
        </w:rPr>
      </w:pPr>
      <w:r w:rsidRPr="009C40C5">
        <w:rPr>
          <w:lang w:val="en-US"/>
        </w:rPr>
        <w:t>We wish to extend our sincere appreciation to the State House of Assembly for enabling the legislative alignment of this framework, and then the leadership of the Ministry of Finance, Treasury, the Office of the Accountant</w:t>
      </w:r>
      <w:r w:rsidRPr="009C40C5">
        <w:rPr>
          <w:lang w:val="en-US"/>
        </w:rPr>
        <w:noBreakHyphen/>
        <w:t>General, whose guidance and oversight were instrumental throughout the process. Special thanks are due to the staff of the Benue State Budget and Economic Planning Commission for coordinating sectoral inputs, ensuring alignment with policy priorities, and facilitating the technical processes that underpin this framework.</w:t>
      </w:r>
    </w:p>
    <w:p w14:paraId="29837DE0" w14:textId="77777777" w:rsidR="009C40C5" w:rsidRPr="009C40C5" w:rsidRDefault="009C40C5" w:rsidP="009C40C5">
      <w:pPr>
        <w:rPr>
          <w:lang w:val="en-US"/>
        </w:rPr>
      </w:pPr>
      <w:r w:rsidRPr="009C40C5">
        <w:rPr>
          <w:lang w:val="en-US"/>
        </w:rPr>
        <w:t xml:space="preserve">Sincere thanks are extended to the </w:t>
      </w:r>
      <w:proofErr w:type="spellStart"/>
      <w:r w:rsidRPr="009C40C5">
        <w:rPr>
          <w:lang w:val="en-US"/>
        </w:rPr>
        <w:t>Honourable</w:t>
      </w:r>
      <w:proofErr w:type="spellEnd"/>
      <w:r w:rsidRPr="009C40C5">
        <w:rPr>
          <w:lang w:val="en-US"/>
        </w:rPr>
        <w:t xml:space="preserve"> Commissioners and Heads of Ministries, Departments and Agencies (MDAs) for their active involvement in data collection, forecasting and </w:t>
      </w:r>
      <w:proofErr w:type="spellStart"/>
      <w:r w:rsidRPr="009C40C5">
        <w:rPr>
          <w:lang w:val="en-US"/>
        </w:rPr>
        <w:t>programme</w:t>
      </w:r>
      <w:proofErr w:type="spellEnd"/>
      <w:r w:rsidRPr="009C40C5">
        <w:rPr>
          <w:lang w:val="en-US"/>
        </w:rPr>
        <w:noBreakHyphen/>
        <w:t>alignment exercises.</w:t>
      </w:r>
    </w:p>
    <w:p w14:paraId="3480C2E8" w14:textId="77777777" w:rsidR="009C40C5" w:rsidRPr="009C40C5" w:rsidRDefault="009C40C5" w:rsidP="009C40C5">
      <w:pPr>
        <w:rPr>
          <w:lang w:val="en-US"/>
        </w:rPr>
      </w:pPr>
      <w:r w:rsidRPr="009C40C5">
        <w:rPr>
          <w:lang w:val="en-US"/>
        </w:rPr>
        <w:t>We also acknowledge the contributions of all sectoral ministries, departments, and agencies (MDAs), whose active participation and valuable inputs have enriched the content and relevance of this MTEF. Their commitment to evidence-based budgeting and fiscal discipline has been vital in shaping realistic and strategic expenditure plans.</w:t>
      </w:r>
    </w:p>
    <w:p w14:paraId="12273A51" w14:textId="0F9012F6" w:rsidR="009C40C5" w:rsidRDefault="009C40C5" w:rsidP="009C40C5">
      <w:pPr>
        <w:rPr>
          <w:lang w:val="en-US"/>
        </w:rPr>
      </w:pPr>
      <w:r w:rsidRPr="009C40C5">
        <w:rPr>
          <w:lang w:val="en-US"/>
        </w:rPr>
        <w:t>Lastly, we recognize the efforts of the technical working group, analysts, and support staff who dedicated their time and expertise to the compilation, analysis, and presentation of this document.</w:t>
      </w:r>
    </w:p>
    <w:p w14:paraId="25343166" w14:textId="77777777" w:rsidR="002E3C33" w:rsidRPr="009C40C5" w:rsidRDefault="002E3C33" w:rsidP="009C40C5">
      <w:pPr>
        <w:rPr>
          <w:lang w:val="en-US"/>
        </w:rPr>
      </w:pPr>
    </w:p>
    <w:p w14:paraId="22215A5D" w14:textId="77777777" w:rsidR="009C40C5" w:rsidRPr="009C40C5" w:rsidRDefault="009C40C5" w:rsidP="00FF0260">
      <w:pPr>
        <w:numPr>
          <w:ilvl w:val="0"/>
          <w:numId w:val="24"/>
        </w:numPr>
        <w:rPr>
          <w:b/>
          <w:bCs/>
          <w:lang w:val="en-US"/>
        </w:rPr>
      </w:pPr>
      <w:r w:rsidRPr="009C40C5">
        <w:rPr>
          <w:b/>
          <w:bCs/>
          <w:lang w:val="en-US"/>
        </w:rPr>
        <w:t>Conclusion</w:t>
      </w:r>
    </w:p>
    <w:p w14:paraId="73C312AF" w14:textId="09A1DFA6" w:rsidR="00377867" w:rsidRDefault="00377867" w:rsidP="00377867">
      <w:pPr>
        <w:rPr>
          <w:b/>
          <w:lang w:val="en-US"/>
        </w:rPr>
      </w:pPr>
      <w:r w:rsidRPr="00841C0D">
        <w:rPr>
          <w:rFonts w:cstheme="minorHAnsi"/>
        </w:rPr>
        <w:t>The 2027–2029 Medium-Term Expenditure Framework (MTEF) provides a strategic foundation for translating the development priorities of Benue State into realistic and sustainable resource allocation over the medium term. Its effectiveness will depend not only on the quality of the underlying fiscal assumptions and expenditure priorities, but also on disciplined implementation, continuous monitoring and evaluation, transparency, effective coordination, and active stakeholder participation. The successful implementation of this framework requires a shared commitment among government institutions, the private sector, civil society organizations, development partners and the citizens of Benue State. Over the three-year period, the MTEF will serve as a key instrument for strengthening fiscal responsibility, improving public service delivery, promoting inclusive economic growth and building resilient communities in Benue State and advance the State towards sustainable development.</w:t>
      </w:r>
    </w:p>
    <w:p w14:paraId="147909A9" w14:textId="6DC65A36" w:rsidR="00377867" w:rsidRDefault="00377867" w:rsidP="00377867">
      <w:pPr>
        <w:ind w:firstLine="720"/>
        <w:rPr>
          <w:b/>
          <w:lang w:val="en-US"/>
        </w:rPr>
      </w:pPr>
    </w:p>
    <w:p w14:paraId="654C2BE0" w14:textId="11EE9D8C" w:rsidR="004F78EA" w:rsidRDefault="00377867" w:rsidP="009C40C5">
      <w:pPr>
        <w:rPr>
          <w:b/>
          <w:lang w:val="en-US"/>
        </w:rPr>
      </w:pPr>
      <w:r>
        <w:rPr>
          <w:b/>
          <w:noProof/>
          <w:lang w:val="en-US" w:eastAsia="en-US"/>
        </w:rPr>
        <w:drawing>
          <wp:anchor distT="0" distB="0" distL="114300" distR="114300" simplePos="0" relativeHeight="251678720" behindDoc="1" locked="0" layoutInCell="1" allowOverlap="1" wp14:anchorId="2F63A9C8" wp14:editId="5FAF4984">
            <wp:simplePos x="0" y="0"/>
            <wp:positionH relativeFrom="column">
              <wp:posOffset>207010</wp:posOffset>
            </wp:positionH>
            <wp:positionV relativeFrom="paragraph">
              <wp:posOffset>55880</wp:posOffset>
            </wp:positionV>
            <wp:extent cx="1231265" cy="645795"/>
            <wp:effectExtent l="0" t="0" r="698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1265" cy="645795"/>
                    </a:xfrm>
                    <a:prstGeom prst="rect">
                      <a:avLst/>
                    </a:prstGeom>
                  </pic:spPr>
                </pic:pic>
              </a:graphicData>
            </a:graphic>
          </wp:anchor>
        </w:drawing>
      </w:r>
    </w:p>
    <w:p w14:paraId="1ED192B3" w14:textId="77777777" w:rsidR="00377867" w:rsidRDefault="00377867" w:rsidP="004F78EA">
      <w:pPr>
        <w:spacing w:after="0"/>
        <w:rPr>
          <w:b/>
          <w:lang w:val="en-US"/>
        </w:rPr>
      </w:pPr>
    </w:p>
    <w:p w14:paraId="75FFE352" w14:textId="77777777" w:rsidR="00377867" w:rsidRDefault="00377867" w:rsidP="004F78EA">
      <w:pPr>
        <w:spacing w:after="0"/>
        <w:rPr>
          <w:b/>
          <w:lang w:val="en-US"/>
        </w:rPr>
      </w:pPr>
    </w:p>
    <w:p w14:paraId="1A700789" w14:textId="1EF9F384" w:rsidR="009C40C5" w:rsidRPr="009C40C5" w:rsidRDefault="009C40C5" w:rsidP="004F78EA">
      <w:pPr>
        <w:spacing w:after="0"/>
        <w:rPr>
          <w:b/>
          <w:lang w:val="en-US"/>
        </w:rPr>
      </w:pPr>
      <w:r w:rsidRPr="009C40C5">
        <w:rPr>
          <w:b/>
          <w:lang w:val="en-US"/>
        </w:rPr>
        <w:t xml:space="preserve">Professor Jerome </w:t>
      </w:r>
      <w:proofErr w:type="spellStart"/>
      <w:r w:rsidRPr="009C40C5">
        <w:rPr>
          <w:b/>
          <w:lang w:val="en-US"/>
        </w:rPr>
        <w:t>Terhemba</w:t>
      </w:r>
      <w:proofErr w:type="spellEnd"/>
      <w:r w:rsidRPr="009C40C5">
        <w:rPr>
          <w:b/>
          <w:lang w:val="en-US"/>
        </w:rPr>
        <w:t xml:space="preserve"> </w:t>
      </w:r>
      <w:proofErr w:type="spellStart"/>
      <w:r w:rsidRPr="009C40C5">
        <w:rPr>
          <w:b/>
          <w:lang w:val="en-US"/>
        </w:rPr>
        <w:t>Andohol</w:t>
      </w:r>
      <w:proofErr w:type="spellEnd"/>
    </w:p>
    <w:p w14:paraId="56DDCD5D" w14:textId="77777777" w:rsidR="009C40C5" w:rsidRPr="009C40C5" w:rsidRDefault="009C40C5" w:rsidP="009C40C5">
      <w:pPr>
        <w:rPr>
          <w:lang w:val="en-US"/>
        </w:rPr>
      </w:pPr>
      <w:r w:rsidRPr="009C40C5">
        <w:rPr>
          <w:b/>
          <w:bCs/>
          <w:i/>
          <w:iCs/>
          <w:lang w:val="en-US"/>
        </w:rPr>
        <w:t>Issued by the Director-General/Chief Executive Officer of the Budget &amp; Economic Planning, Commission, Benue State</w:t>
      </w:r>
    </w:p>
    <w:p w14:paraId="321FAEB8" w14:textId="161C4447" w:rsidR="00934A18" w:rsidRDefault="00934A18" w:rsidP="00C72A91"/>
    <w:p w14:paraId="6159C4D1" w14:textId="77777777" w:rsidR="00C72A91" w:rsidRDefault="00C72A91">
      <w:pPr>
        <w:spacing w:before="0" w:after="200" w:line="276" w:lineRule="auto"/>
        <w:jc w:val="left"/>
        <w:rPr>
          <w:rFonts w:eastAsia="Times New Roman" w:cs="Times New Roman"/>
          <w:b/>
          <w:color w:val="32746D"/>
          <w:sz w:val="32"/>
          <w:szCs w:val="32"/>
          <w:u w:color="00B050"/>
        </w:rPr>
      </w:pPr>
      <w:bookmarkStart w:id="0" w:name="_Toc405300819"/>
      <w:r>
        <w:br w:type="page"/>
      </w:r>
    </w:p>
    <w:p w14:paraId="07C0CDC1" w14:textId="77777777" w:rsidR="004C6ABA" w:rsidRDefault="004C6ABA" w:rsidP="00466B4F">
      <w:pPr>
        <w:pStyle w:val="Heading1"/>
        <w:sectPr w:rsidR="004C6ABA" w:rsidSect="004C6ABA">
          <w:headerReference w:type="default" r:id="rId12"/>
          <w:footerReference w:type="default" r:id="rId13"/>
          <w:pgSz w:w="11906" w:h="16838" w:code="9"/>
          <w:pgMar w:top="1304" w:right="1134" w:bottom="1134" w:left="1134" w:header="397" w:footer="397" w:gutter="0"/>
          <w:cols w:space="708"/>
          <w:docGrid w:linePitch="360"/>
        </w:sectPr>
      </w:pPr>
    </w:p>
    <w:p w14:paraId="3ADDCD29" w14:textId="2A353639" w:rsidR="00811E5F" w:rsidRDefault="00811E5F" w:rsidP="00466B4F">
      <w:pPr>
        <w:pStyle w:val="Heading1"/>
      </w:pPr>
      <w:bookmarkStart w:id="1" w:name="_Toc208941429"/>
      <w:r w:rsidRPr="00811E5F">
        <w:lastRenderedPageBreak/>
        <w:t>Introduction and Background</w:t>
      </w:r>
      <w:bookmarkEnd w:id="1"/>
    </w:p>
    <w:p w14:paraId="566DF3B6" w14:textId="11D645A8" w:rsidR="00811E5F" w:rsidRDefault="00811E5F" w:rsidP="00DE4DA3">
      <w:pPr>
        <w:pStyle w:val="Heading2"/>
        <w:ind w:left="709" w:hanging="709"/>
      </w:pPr>
      <w:bookmarkStart w:id="2" w:name="_Toc208941430"/>
      <w:r w:rsidRPr="00811E5F">
        <w:t>Introduction</w:t>
      </w:r>
      <w:bookmarkEnd w:id="2"/>
    </w:p>
    <w:p w14:paraId="4415C220" w14:textId="7F8A3978" w:rsidR="00A44995" w:rsidRPr="00A44995" w:rsidRDefault="00A44995" w:rsidP="00A44995">
      <w:pPr>
        <w:pStyle w:val="NumberedParagraph"/>
      </w:pPr>
      <w:r w:rsidRPr="00A44995">
        <w:t xml:space="preserve">The Economic and Fiscal Update (EFU) provides economic and fiscal analyses which form the basis for </w:t>
      </w:r>
      <w:r w:rsidR="004735DA">
        <w:t xml:space="preserve">the </w:t>
      </w:r>
      <w:r w:rsidRPr="00A44995">
        <w:t>budget planning process.  It is primarily a</w:t>
      </w:r>
      <w:r w:rsidR="003759E1">
        <w:t>imed</w:t>
      </w:r>
      <w:r w:rsidRPr="00A44995">
        <w:t xml:space="preserve"> </w:t>
      </w:r>
      <w:r w:rsidR="003759E1">
        <w:t>at</w:t>
      </w:r>
      <w:r w:rsidRPr="00A44995">
        <w:t xml:space="preserve"> </w:t>
      </w:r>
      <w:r w:rsidR="003759E1">
        <w:t>policy</w:t>
      </w:r>
      <w:r w:rsidRPr="00A44995">
        <w:t xml:space="preserve">makers and decision </w:t>
      </w:r>
      <w:r w:rsidR="004735DA">
        <w:t>m</w:t>
      </w:r>
      <w:r w:rsidRPr="00A44995">
        <w:t>akers in</w:t>
      </w:r>
      <w:r w:rsidR="008B2D3F">
        <w:t xml:space="preserve"> </w:t>
      </w:r>
      <w:r w:rsidR="004735DA">
        <w:t xml:space="preserve">the </w:t>
      </w:r>
      <w:r w:rsidR="008B2D3F">
        <w:t>Benue</w:t>
      </w:r>
      <w:r w:rsidRPr="00A44995">
        <w:t xml:space="preserve"> State Gover</w:t>
      </w:r>
      <w:r w:rsidR="00B02F15">
        <w:t>n</w:t>
      </w:r>
      <w:r w:rsidRPr="00A44995">
        <w:t xml:space="preserve">ment.  The EFU also provides an assessment of budget performance (both historical and current) and identifies significant factors affecting implementation.  </w:t>
      </w:r>
    </w:p>
    <w:p w14:paraId="11C52875" w14:textId="62DD0A8A" w:rsidR="00A44995" w:rsidRPr="00A44995" w:rsidRDefault="00A44995" w:rsidP="00A44995">
      <w:pPr>
        <w:pStyle w:val="NumberedParagraph"/>
      </w:pPr>
      <w:r w:rsidRPr="00A44995">
        <w:t xml:space="preserve">On the other hand, </w:t>
      </w:r>
      <w:r w:rsidR="004735DA">
        <w:t xml:space="preserve">the </w:t>
      </w:r>
      <w:r w:rsidRPr="00A44995">
        <w:t xml:space="preserve">Fiscal Strategy Paper (FSP) and </w:t>
      </w:r>
      <w:r w:rsidR="004735DA">
        <w:t xml:space="preserve">the </w:t>
      </w:r>
      <w:r w:rsidRPr="00A44995">
        <w:t xml:space="preserve">Budget Policy Statement (BPS) are key elements in </w:t>
      </w:r>
      <w:r w:rsidR="004735DA">
        <w:t xml:space="preserve">the </w:t>
      </w:r>
      <w:r w:rsidR="004735DA" w:rsidRPr="00A44995">
        <w:t>Medium-Term</w:t>
      </w:r>
      <w:r w:rsidRPr="00A44995">
        <w:t xml:space="preserve"> Expenditure Framework (MTEF) and annual budget process, and as such, they determine the resources available to fund Government projects and programmes from a fiscally sustainable perspective. </w:t>
      </w:r>
    </w:p>
    <w:p w14:paraId="23A52702" w14:textId="6284E23B" w:rsidR="00A44995" w:rsidRDefault="00BE1B7F" w:rsidP="00A44995">
      <w:pPr>
        <w:pStyle w:val="NumberedParagraph"/>
      </w:pPr>
      <w:r w:rsidRPr="00093F8F">
        <w:t>Benue</w:t>
      </w:r>
      <w:r w:rsidR="00A44995" w:rsidRPr="00093F8F">
        <w:t xml:space="preserve"> State Government decided to adopt the preparation of the EFU-FSP-BPS for the first time in</w:t>
      </w:r>
      <w:r w:rsidR="00A44995" w:rsidRPr="00A44995">
        <w:t xml:space="preserve"> 20</w:t>
      </w:r>
      <w:r>
        <w:t>23</w:t>
      </w:r>
      <w:r w:rsidR="00A44995" w:rsidRPr="00A44995">
        <w:t xml:space="preserve"> as part of the movement toward a comprehensive MTEF process. This is </w:t>
      </w:r>
      <w:r w:rsidR="00377867">
        <w:t xml:space="preserve">form </w:t>
      </w:r>
      <w:r w:rsidR="002F480C">
        <w:t xml:space="preserve">part of the budget office annual work plan overs the years. </w:t>
      </w:r>
    </w:p>
    <w:p w14:paraId="1344905C" w14:textId="37D5AB75" w:rsidR="00A44995" w:rsidRDefault="00A44995" w:rsidP="00DE4DA3">
      <w:pPr>
        <w:pStyle w:val="Heading3"/>
        <w:ind w:left="709" w:hanging="709"/>
      </w:pPr>
      <w:bookmarkStart w:id="3" w:name="_Toc208941431"/>
      <w:r w:rsidRPr="00A44995">
        <w:t>Budget Process</w:t>
      </w:r>
      <w:bookmarkEnd w:id="3"/>
    </w:p>
    <w:p w14:paraId="01B7B299" w14:textId="1707542F" w:rsidR="00A44995" w:rsidRDefault="00A44995" w:rsidP="00A44995">
      <w:pPr>
        <w:pStyle w:val="NumberedParagraph"/>
      </w:pPr>
      <w:r>
        <w:t>The budget process describes the budget cycle in a fiscal year. Its conception is informed by the MTEF process</w:t>
      </w:r>
      <w:r w:rsidR="004735DA">
        <w:t>,</w:t>
      </w:r>
      <w:r>
        <w:t xml:space="preserve"> which has three components</w:t>
      </w:r>
      <w:r w:rsidR="004735DA">
        <w:t>,</w:t>
      </w:r>
      <w:r>
        <w:t xml:space="preserve"> namely:</w:t>
      </w:r>
    </w:p>
    <w:p w14:paraId="7F4B41B0" w14:textId="374CF3A7" w:rsidR="00A44995" w:rsidRDefault="00A44995" w:rsidP="00A44995">
      <w:pPr>
        <w:pStyle w:val="ListNumber"/>
        <w:tabs>
          <w:tab w:val="clear" w:pos="567"/>
          <w:tab w:val="num" w:pos="1134"/>
        </w:tabs>
      </w:pPr>
      <w:r>
        <w:t>Medium Term Fiscal Framework (MTFF);</w:t>
      </w:r>
    </w:p>
    <w:p w14:paraId="0524004B" w14:textId="65E12E4C" w:rsidR="00A44995" w:rsidRDefault="00A44995" w:rsidP="00A44995">
      <w:pPr>
        <w:pStyle w:val="ListNumber"/>
        <w:tabs>
          <w:tab w:val="clear" w:pos="567"/>
          <w:tab w:val="num" w:pos="1134"/>
        </w:tabs>
      </w:pPr>
      <w:r>
        <w:t>Medium Term Budget Framework (MTBF);</w:t>
      </w:r>
    </w:p>
    <w:p w14:paraId="1B1F78E1" w14:textId="7EDF8696" w:rsidR="00A44995" w:rsidRDefault="00A44995" w:rsidP="00A44995">
      <w:pPr>
        <w:pStyle w:val="ListNumber"/>
        <w:tabs>
          <w:tab w:val="clear" w:pos="567"/>
          <w:tab w:val="num" w:pos="1134"/>
        </w:tabs>
      </w:pPr>
      <w:r>
        <w:t>Medium Term Sector Strategies (MTSS).</w:t>
      </w:r>
    </w:p>
    <w:p w14:paraId="6BFD504B" w14:textId="6FDBA33C" w:rsidR="00A44995" w:rsidRDefault="00A44995" w:rsidP="00A44995">
      <w:pPr>
        <w:pStyle w:val="NumberedParagraph"/>
      </w:pPr>
      <w:r>
        <w:t>It commences with the conception through preparation, execution, control, monitoring and evaluation and goes back again to conception for the ensuing year’s budget.</w:t>
      </w:r>
    </w:p>
    <w:p w14:paraId="603B1CEE" w14:textId="71277F7C" w:rsidR="00A44995" w:rsidRDefault="00A44995" w:rsidP="00A44995">
      <w:pPr>
        <w:pStyle w:val="NumberedParagraph"/>
      </w:pPr>
      <w:r>
        <w:t>The MTEF process is summarised in the diagram below:</w:t>
      </w:r>
    </w:p>
    <w:p w14:paraId="5DE796D6" w14:textId="0D735D79" w:rsidR="00A44995" w:rsidRDefault="00A44995" w:rsidP="00A44995">
      <w:pPr>
        <w:pStyle w:val="Caption"/>
      </w:pPr>
      <w:bookmarkStart w:id="4" w:name="_Toc208941459"/>
      <w:r>
        <w:t xml:space="preserve">Figure </w:t>
      </w:r>
      <w:fldSimple w:instr=" SEQ Figure \* ARABIC ">
        <w:r w:rsidR="00F60625">
          <w:rPr>
            <w:noProof/>
          </w:rPr>
          <w:t>1</w:t>
        </w:r>
      </w:fldSimple>
      <w:r>
        <w:t>: MTEF Process</w:t>
      </w:r>
      <w:bookmarkEnd w:id="4"/>
    </w:p>
    <w:p w14:paraId="1352A299" w14:textId="27526E78" w:rsidR="00A44995" w:rsidRDefault="00A44995" w:rsidP="00A44995">
      <w:pPr>
        <w:pStyle w:val="NumberedParagraph"/>
        <w:numPr>
          <w:ilvl w:val="0"/>
          <w:numId w:val="0"/>
        </w:numPr>
        <w:ind w:left="567"/>
      </w:pPr>
      <w:r>
        <w:rPr>
          <w:noProof/>
          <w:lang w:val="en-US" w:eastAsia="en-US"/>
        </w:rPr>
        <w:drawing>
          <wp:inline distT="0" distB="0" distL="0" distR="0" wp14:anchorId="56E31E08" wp14:editId="7762E0AE">
            <wp:extent cx="5476624" cy="3831021"/>
            <wp:effectExtent l="0" t="0" r="0" b="0"/>
            <wp:docPr id="5" name="Picture 5"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TEF Process.jpg"/>
                    <pic:cNvPicPr/>
                  </pic:nvPicPr>
                  <pic:blipFill>
                    <a:blip r:embed="rId14">
                      <a:extLst>
                        <a:ext uri="{28A0092B-C50C-407E-A947-70E740481C1C}">
                          <a14:useLocalDpi xmlns:a14="http://schemas.microsoft.com/office/drawing/2010/main" val="0"/>
                        </a:ext>
                      </a:extLst>
                    </a:blip>
                    <a:stretch>
                      <a:fillRect/>
                    </a:stretch>
                  </pic:blipFill>
                  <pic:spPr>
                    <a:xfrm>
                      <a:off x="0" y="0"/>
                      <a:ext cx="5541805" cy="3876616"/>
                    </a:xfrm>
                    <a:prstGeom prst="rect">
                      <a:avLst/>
                    </a:prstGeom>
                  </pic:spPr>
                </pic:pic>
              </a:graphicData>
            </a:graphic>
          </wp:inline>
        </w:drawing>
      </w:r>
    </w:p>
    <w:p w14:paraId="2064C3CB" w14:textId="03C4FBA4" w:rsidR="00A44995" w:rsidRDefault="00870C49" w:rsidP="00870C49">
      <w:pPr>
        <w:pStyle w:val="Heading3"/>
        <w:ind w:left="720"/>
      </w:pPr>
      <w:bookmarkStart w:id="5" w:name="_Toc208941432"/>
      <w:r w:rsidRPr="00870C49">
        <w:lastRenderedPageBreak/>
        <w:t>Summary of Document Content</w:t>
      </w:r>
      <w:bookmarkEnd w:id="5"/>
    </w:p>
    <w:p w14:paraId="7EFE2A1C" w14:textId="203C41FA" w:rsidR="00870C49" w:rsidRPr="00093F8F" w:rsidRDefault="00870C49" w:rsidP="00870C49">
      <w:pPr>
        <w:pStyle w:val="NumberedParagraph"/>
      </w:pPr>
      <w:r w:rsidRPr="00093F8F">
        <w:t>In accordance with international best practice in budgeting, the production of a combined Economic and Fiscal Update (EFU), Fiscal Strategy Paper (FSP) and Budget Policy Statement (BPS) is the first step in the budget preparation cycle for</w:t>
      </w:r>
      <w:r w:rsidR="00BE1B7F" w:rsidRPr="00093F8F">
        <w:t xml:space="preserve"> Benue</w:t>
      </w:r>
      <w:r w:rsidRPr="00093F8F">
        <w:t xml:space="preserve"> State Government (</w:t>
      </w:r>
      <w:r w:rsidR="00BE1B7F" w:rsidRPr="00093F8F">
        <w:t>BN</w:t>
      </w:r>
      <w:r w:rsidRPr="00093F8F">
        <w:t>SG) for the period 20</w:t>
      </w:r>
      <w:r w:rsidR="002F480C">
        <w:t>27</w:t>
      </w:r>
      <w:r w:rsidRPr="00093F8F">
        <w:t>-20</w:t>
      </w:r>
      <w:r w:rsidR="002F480C">
        <w:t>29</w:t>
      </w:r>
      <w:r w:rsidRPr="00093F8F">
        <w:t xml:space="preserve">. </w:t>
      </w:r>
    </w:p>
    <w:p w14:paraId="36F666B2" w14:textId="54CCEB2C" w:rsidR="00870C49" w:rsidRDefault="00870C49" w:rsidP="00870C49">
      <w:pPr>
        <w:pStyle w:val="NumberedParagraph"/>
      </w:pPr>
      <w:r>
        <w:t xml:space="preserve">The purpose of this document is </w:t>
      </w:r>
      <w:r w:rsidR="00044C32">
        <w:t>threefold</w:t>
      </w:r>
      <w:r>
        <w:t>:</w:t>
      </w:r>
    </w:p>
    <w:p w14:paraId="03306AB0" w14:textId="45BD77B0" w:rsidR="00870C49" w:rsidRDefault="00870C49" w:rsidP="001858B4">
      <w:pPr>
        <w:pStyle w:val="ListNumber"/>
        <w:numPr>
          <w:ilvl w:val="0"/>
          <w:numId w:val="18"/>
        </w:numPr>
        <w:tabs>
          <w:tab w:val="clear" w:pos="567"/>
          <w:tab w:val="num" w:pos="1134"/>
        </w:tabs>
      </w:pPr>
      <w:r>
        <w:t xml:space="preserve">To provide a </w:t>
      </w:r>
      <w:r w:rsidR="00044C32">
        <w:t>backwards-looking</w:t>
      </w:r>
      <w:r>
        <w:t xml:space="preserve"> summary of key economic and fiscal trends that will affect the public expenditure in the future - Economic and Fiscal Update; </w:t>
      </w:r>
    </w:p>
    <w:p w14:paraId="6AC98CE5" w14:textId="666BF3DD" w:rsidR="00870C49" w:rsidRDefault="00870C49" w:rsidP="00870C49">
      <w:pPr>
        <w:pStyle w:val="ListNumber"/>
        <w:tabs>
          <w:tab w:val="clear" w:pos="567"/>
          <w:tab w:val="num" w:pos="1134"/>
        </w:tabs>
      </w:pPr>
      <w:r>
        <w:t xml:space="preserve">To set out </w:t>
      </w:r>
      <w:r w:rsidR="00044C32">
        <w:t>medium-term</w:t>
      </w:r>
      <w:r>
        <w:t xml:space="preserve"> fiscal objectives and targets, including tax policy; revenue mobilisation; level of public expenditure; deficit financing and public debt - Fiscal Strategy Paper and MTFF; and</w:t>
      </w:r>
    </w:p>
    <w:p w14:paraId="08BCA9A7" w14:textId="230DC407" w:rsidR="00870C49" w:rsidRPr="00093F8F" w:rsidRDefault="00870C49" w:rsidP="00870C49">
      <w:pPr>
        <w:pStyle w:val="ListNumber"/>
        <w:tabs>
          <w:tab w:val="clear" w:pos="567"/>
          <w:tab w:val="num" w:pos="1134"/>
        </w:tabs>
      </w:pPr>
      <w:r w:rsidRPr="00093F8F">
        <w:t>Provide indicative sector envelopes for the period 20</w:t>
      </w:r>
      <w:r w:rsidR="002F480C">
        <w:t>27</w:t>
      </w:r>
      <w:r w:rsidRPr="00093F8F">
        <w:t>-20</w:t>
      </w:r>
      <w:r w:rsidR="002F480C">
        <w:t>29</w:t>
      </w:r>
      <w:r w:rsidR="00044C32" w:rsidRPr="00093F8F">
        <w:t>,</w:t>
      </w:r>
      <w:r w:rsidRPr="00093F8F">
        <w:t xml:space="preserve"> which constitute the MTBF.</w:t>
      </w:r>
    </w:p>
    <w:p w14:paraId="57801224" w14:textId="22D730D3" w:rsidR="00870C49" w:rsidRDefault="00870C49" w:rsidP="00870C49">
      <w:pPr>
        <w:pStyle w:val="NumberedParagraph"/>
      </w:pPr>
      <w:r w:rsidRPr="00870C49">
        <w:t xml:space="preserve">The EFU is presented in Section 2 of this document.  The EFU provides economic and fiscal analysis </w:t>
      </w:r>
      <w:r w:rsidR="00044C32">
        <w:t>to</w:t>
      </w:r>
      <w:r w:rsidRPr="00870C49">
        <w:t xml:space="preserve"> inform the budget planning process.  It is aimed primarily at bud</w:t>
      </w:r>
      <w:r w:rsidR="002F480C">
        <w:t>get policy makers and decision m</w:t>
      </w:r>
      <w:r w:rsidRPr="00870C49">
        <w:t>akers in the</w:t>
      </w:r>
      <w:r w:rsidR="00BE1B7F">
        <w:t xml:space="preserve"> Benue</w:t>
      </w:r>
      <w:r w:rsidRPr="00870C49">
        <w:t xml:space="preserve"> State Government.  The EFU also provides an assessment of budget performance (both historical and current) and identifies significant factors affecting implementation. It includes:</w:t>
      </w:r>
    </w:p>
    <w:p w14:paraId="10390126" w14:textId="261FFA5D" w:rsidR="00870C49" w:rsidRDefault="00870C49" w:rsidP="00870C49">
      <w:pPr>
        <w:pStyle w:val="ListBullet"/>
        <w:ind w:hanging="579"/>
      </w:pPr>
      <w:r>
        <w:t>Overview of Global, National and State Economic Performance;</w:t>
      </w:r>
    </w:p>
    <w:p w14:paraId="75EDCF64" w14:textId="7B49BE7D" w:rsidR="00870C49" w:rsidRDefault="00870C49" w:rsidP="00870C49">
      <w:pPr>
        <w:pStyle w:val="ListBullet"/>
        <w:ind w:hanging="579"/>
      </w:pPr>
      <w:r>
        <w:t>Overview of the Petroleum Sector;</w:t>
      </w:r>
    </w:p>
    <w:p w14:paraId="1E10911F" w14:textId="68EE26C1" w:rsidR="00870C49" w:rsidRDefault="00870C49" w:rsidP="00870C49">
      <w:pPr>
        <w:pStyle w:val="ListBullet"/>
        <w:ind w:hanging="579"/>
      </w:pPr>
      <w:r>
        <w:t>Trends in budget performance over the last six years.</w:t>
      </w:r>
    </w:p>
    <w:p w14:paraId="13519EBF" w14:textId="6CBBD7B1" w:rsidR="00870C49" w:rsidRDefault="00870C49" w:rsidP="00870C49">
      <w:pPr>
        <w:pStyle w:val="NumberedParagraph"/>
      </w:pPr>
      <w:r w:rsidRPr="00870C49">
        <w:t>The FSP is a key element in the</w:t>
      </w:r>
      <w:r w:rsidR="00BE1B7F">
        <w:t xml:space="preserve"> BN</w:t>
      </w:r>
      <w:r w:rsidRPr="00870C49">
        <w:t>SG Medium Term Expenditure Framework (MTEF) process and annual budget process.  As such, it determines the resources available to fund the Government’s growth and poverty reduction programme from a fiscally sustainable perspective.</w:t>
      </w:r>
    </w:p>
    <w:p w14:paraId="57372977" w14:textId="4343C357" w:rsidR="00870C49" w:rsidRDefault="00870C49" w:rsidP="00870C49">
      <w:pPr>
        <w:pStyle w:val="Heading3"/>
        <w:ind w:left="709" w:hanging="709"/>
      </w:pPr>
      <w:bookmarkStart w:id="6" w:name="_Toc208941433"/>
      <w:r w:rsidRPr="00870C49">
        <w:t>Preparation and Audience</w:t>
      </w:r>
      <w:bookmarkEnd w:id="6"/>
    </w:p>
    <w:p w14:paraId="73E9CB02" w14:textId="4D5522AE" w:rsidR="00870C49" w:rsidRDefault="00870C49" w:rsidP="00870C49">
      <w:pPr>
        <w:pStyle w:val="NumberedParagraph"/>
      </w:pPr>
      <w:r>
        <w:t>The purpose of this document is to provide an informed basis for the 20</w:t>
      </w:r>
      <w:r w:rsidR="002F480C">
        <w:t>27</w:t>
      </w:r>
      <w:r>
        <w:t>-20</w:t>
      </w:r>
      <w:r w:rsidR="002F480C">
        <w:t>29</w:t>
      </w:r>
      <w:r>
        <w:t xml:space="preserve"> budget preparation cycle for all of the key Stakeholders, specifically:</w:t>
      </w:r>
    </w:p>
    <w:p w14:paraId="6B1DF85F" w14:textId="64E993EF" w:rsidR="00870C49" w:rsidRDefault="00870C49" w:rsidP="00870C49">
      <w:pPr>
        <w:pStyle w:val="ListBullet"/>
        <w:ind w:hanging="579"/>
      </w:pPr>
      <w:r>
        <w:t>State House of Assembly (</w:t>
      </w:r>
      <w:proofErr w:type="spellStart"/>
      <w:r>
        <w:t>SHoA</w:t>
      </w:r>
      <w:proofErr w:type="spellEnd"/>
      <w:r>
        <w:t xml:space="preserve">); </w:t>
      </w:r>
    </w:p>
    <w:p w14:paraId="77CE3D09" w14:textId="116B3C5E" w:rsidR="00870C49" w:rsidRDefault="00870C49" w:rsidP="00870C49">
      <w:pPr>
        <w:pStyle w:val="ListBullet"/>
        <w:ind w:hanging="579"/>
      </w:pPr>
      <w:r>
        <w:t>Executive Council (</w:t>
      </w:r>
      <w:proofErr w:type="spellStart"/>
      <w:r>
        <w:t>ExCo</w:t>
      </w:r>
      <w:proofErr w:type="spellEnd"/>
      <w:r>
        <w:t xml:space="preserve">); </w:t>
      </w:r>
    </w:p>
    <w:p w14:paraId="3E086B18" w14:textId="2801C07B" w:rsidR="00870C49" w:rsidRDefault="00EB68F7" w:rsidP="00870C49">
      <w:pPr>
        <w:pStyle w:val="ListBullet"/>
        <w:ind w:hanging="579"/>
      </w:pPr>
      <w:r w:rsidRPr="00EB68F7">
        <w:t>Benue State</w:t>
      </w:r>
      <w:r w:rsidR="00870C49" w:rsidRPr="00EB68F7">
        <w:t xml:space="preserve"> </w:t>
      </w:r>
      <w:r w:rsidR="004B09E6">
        <w:t xml:space="preserve">Budget and Economic </w:t>
      </w:r>
      <w:r w:rsidR="00870C49" w:rsidRPr="00EB68F7">
        <w:t xml:space="preserve">Planning </w:t>
      </w:r>
      <w:r w:rsidRPr="00EB68F7">
        <w:t>Commission</w:t>
      </w:r>
      <w:r w:rsidR="00870C49">
        <w:t>;</w:t>
      </w:r>
    </w:p>
    <w:p w14:paraId="6401560D" w14:textId="53852E49" w:rsidR="00870C49" w:rsidRDefault="00870C49" w:rsidP="00870C49">
      <w:pPr>
        <w:pStyle w:val="ListBullet"/>
        <w:ind w:hanging="579"/>
      </w:pPr>
      <w:r>
        <w:t xml:space="preserve">Ministry of Finance; </w:t>
      </w:r>
    </w:p>
    <w:p w14:paraId="224F24DD" w14:textId="193F0B67" w:rsidR="00870C49" w:rsidRDefault="00870C49" w:rsidP="00870C49">
      <w:pPr>
        <w:pStyle w:val="ListBullet"/>
        <w:ind w:hanging="579"/>
      </w:pPr>
      <w:r>
        <w:t>All Government Ministries, Departments and Agencies (</w:t>
      </w:r>
      <w:r w:rsidR="00044C32">
        <w:t>MDAs</w:t>
      </w:r>
      <w:r>
        <w:t xml:space="preserve">); </w:t>
      </w:r>
    </w:p>
    <w:p w14:paraId="19A9C7DC" w14:textId="37ABD3E0" w:rsidR="00870C49" w:rsidRDefault="00870C49" w:rsidP="00870C49">
      <w:pPr>
        <w:pStyle w:val="ListBullet"/>
        <w:ind w:hanging="579"/>
      </w:pPr>
      <w:r>
        <w:t>Civil Society.</w:t>
      </w:r>
    </w:p>
    <w:p w14:paraId="55EBFF68" w14:textId="78DD6678" w:rsidR="00DE4DA3" w:rsidRDefault="00DE4DA3" w:rsidP="00DE4DA3">
      <w:pPr>
        <w:pStyle w:val="NumberedParagraph"/>
      </w:pPr>
      <w:r w:rsidRPr="00DE4DA3">
        <w:t xml:space="preserve">The document is prepared within the first two quarters of the year </w:t>
      </w:r>
      <w:r w:rsidR="004735DA">
        <w:t>before</w:t>
      </w:r>
      <w:r w:rsidRPr="00DE4DA3">
        <w:t xml:space="preserve"> the annual budget preparation period.  It is prepared by</w:t>
      </w:r>
      <w:r w:rsidR="00EB68F7">
        <w:t xml:space="preserve"> </w:t>
      </w:r>
      <w:r w:rsidR="004735DA">
        <w:t xml:space="preserve">the </w:t>
      </w:r>
      <w:r w:rsidR="00EB68F7">
        <w:t>Benue</w:t>
      </w:r>
      <w:r w:rsidRPr="00DE4DA3">
        <w:t xml:space="preserve"> State Government (EFU-FSP-BPS) Working Group using data collected from International, National and State organisations.</w:t>
      </w:r>
    </w:p>
    <w:p w14:paraId="34841311" w14:textId="259ED46A" w:rsidR="00DE4DA3" w:rsidRDefault="00DE4DA3" w:rsidP="00DE4DA3">
      <w:pPr>
        <w:pStyle w:val="Heading2"/>
        <w:ind w:left="709" w:hanging="709"/>
      </w:pPr>
      <w:bookmarkStart w:id="7" w:name="_Toc208941434"/>
      <w:r w:rsidRPr="00DE4DA3">
        <w:t>Background</w:t>
      </w:r>
      <w:bookmarkEnd w:id="7"/>
    </w:p>
    <w:p w14:paraId="5947A513" w14:textId="74859A13" w:rsidR="00DE4DA3" w:rsidRDefault="00DE4DA3" w:rsidP="00DE4DA3">
      <w:pPr>
        <w:pStyle w:val="Heading3"/>
        <w:ind w:left="709" w:hanging="709"/>
      </w:pPr>
      <w:bookmarkStart w:id="8" w:name="_Toc208941435"/>
      <w:r w:rsidRPr="00DE4DA3">
        <w:t xml:space="preserve">Legislative and Institutional </w:t>
      </w:r>
      <w:r w:rsidR="004735DA">
        <w:t>Arrangements</w:t>
      </w:r>
      <w:r w:rsidRPr="00DE4DA3">
        <w:t xml:space="preserve"> for PFM</w:t>
      </w:r>
      <w:bookmarkEnd w:id="8"/>
    </w:p>
    <w:p w14:paraId="4827A7C1" w14:textId="3FCC92E9" w:rsidR="004735DA" w:rsidRDefault="00DE4DA3" w:rsidP="004735DA">
      <w:pPr>
        <w:pStyle w:val="NumberedParagraph"/>
      </w:pPr>
      <w:r w:rsidRPr="00DE4DA3">
        <w:t xml:space="preserve">Legislative Framework for PFM in </w:t>
      </w:r>
      <w:r w:rsidR="0042027A">
        <w:t xml:space="preserve">Benue </w:t>
      </w:r>
      <w:r w:rsidRPr="00DE4DA3">
        <w:t xml:space="preserve">State </w:t>
      </w:r>
      <w:r>
        <w:t>–</w:t>
      </w:r>
      <w:r w:rsidR="004735DA">
        <w:t xml:space="preserve"> The fundamental law governing public financial management in Nigeria and Benue State is the 1999 Constitution as amended. Sections 120 and 121 of the Constitution provide that all revenues accruing to the Benue State Government shall be received into a Consolidated Revenue Fund (CRF) to be maintained by the Government, and no revenue shall be paid into any other fund, except as authorised by the State House of Assembly (</w:t>
      </w:r>
      <w:proofErr w:type="spellStart"/>
      <w:r w:rsidR="004735DA">
        <w:t>SHoA</w:t>
      </w:r>
      <w:proofErr w:type="spellEnd"/>
      <w:r w:rsidR="004735DA">
        <w:t xml:space="preserve">) for a specific purpose. The withdrawal of funds from the CRF shall be authorised by the </w:t>
      </w:r>
      <w:proofErr w:type="spellStart"/>
      <w:r w:rsidR="004735DA">
        <w:t>SHoA</w:t>
      </w:r>
      <w:proofErr w:type="spellEnd"/>
      <w:r w:rsidR="004735DA">
        <w:t xml:space="preserve"> through the annual budget or appropriation process.  The Governor of Benue State shall prepare and lay expenditure </w:t>
      </w:r>
      <w:r w:rsidR="004735DA">
        <w:lastRenderedPageBreak/>
        <w:t xml:space="preserve">proposals for the coming financial year before the </w:t>
      </w:r>
      <w:proofErr w:type="spellStart"/>
      <w:r w:rsidR="004735DA">
        <w:t>SHoA</w:t>
      </w:r>
      <w:proofErr w:type="spellEnd"/>
      <w:r w:rsidR="004735DA">
        <w:t xml:space="preserve">, and the </w:t>
      </w:r>
      <w:proofErr w:type="spellStart"/>
      <w:r w:rsidR="004735DA">
        <w:t>SHoA</w:t>
      </w:r>
      <w:proofErr w:type="spellEnd"/>
      <w:r w:rsidR="004735DA">
        <w:t xml:space="preserve"> shall approve the expenditure proposal by passing an Appropriation Law. The Appropriation Law shall authorise the executive arm of government to withdraw and spend the amounts specified from the CRF.</w:t>
      </w:r>
    </w:p>
    <w:p w14:paraId="345B81ED" w14:textId="77777777" w:rsidR="004735DA" w:rsidRDefault="004735DA" w:rsidP="004735DA">
      <w:pPr>
        <w:pStyle w:val="NumberedParagraph"/>
      </w:pPr>
      <w:r>
        <w:t>Benue State Legislative Framework for Public Financial Management (PFM) mandates the House of Assembly to control expenditure and audit public funds, alongside state-specific laws like the Fiscal Responsibility Law and various implementing frameworks by the Ministry of Finance and Office of the Auditor General.</w:t>
      </w:r>
    </w:p>
    <w:p w14:paraId="3594250F" w14:textId="77777777" w:rsidR="004735DA" w:rsidRDefault="004735DA" w:rsidP="004735DA">
      <w:pPr>
        <w:pStyle w:val="NumberedParagraph"/>
      </w:pPr>
      <w:r>
        <w:t>The framework includes legislative approval of the budget, oversight on its execution through reports and audits, and adherence to national laws like the Public Procurement Act.</w:t>
      </w:r>
    </w:p>
    <w:p w14:paraId="0F5E80A0" w14:textId="77777777" w:rsidR="004735DA" w:rsidRDefault="004735DA" w:rsidP="004735DA">
      <w:pPr>
        <w:pStyle w:val="NumberedParagraph"/>
      </w:pPr>
      <w:r>
        <w:t>The key components of the legislative framework include:</w:t>
      </w:r>
    </w:p>
    <w:p w14:paraId="37793B3D" w14:textId="77777777" w:rsidR="004735DA" w:rsidRDefault="004735DA" w:rsidP="00FF0260">
      <w:pPr>
        <w:pStyle w:val="NumberedParagraph"/>
        <w:numPr>
          <w:ilvl w:val="0"/>
          <w:numId w:val="19"/>
        </w:numPr>
      </w:pPr>
      <w:r>
        <w:t>Public Procurement Commission Law 2020</w:t>
      </w:r>
    </w:p>
    <w:p w14:paraId="40E26715" w14:textId="77777777" w:rsidR="004735DA" w:rsidRDefault="004735DA" w:rsidP="00FF0260">
      <w:pPr>
        <w:pStyle w:val="NumberedParagraph"/>
        <w:numPr>
          <w:ilvl w:val="0"/>
          <w:numId w:val="19"/>
        </w:numPr>
      </w:pPr>
      <w:r>
        <w:t>Fiscal Responsibility Law 2020</w:t>
      </w:r>
    </w:p>
    <w:p w14:paraId="489954E3" w14:textId="77777777" w:rsidR="004735DA" w:rsidRDefault="004735DA" w:rsidP="00FF0260">
      <w:pPr>
        <w:pStyle w:val="NumberedParagraph"/>
        <w:numPr>
          <w:ilvl w:val="0"/>
          <w:numId w:val="19"/>
        </w:numPr>
      </w:pPr>
      <w:r>
        <w:t>Debt Management Establishment Law 2020</w:t>
      </w:r>
    </w:p>
    <w:p w14:paraId="3D5A7483" w14:textId="16F09807" w:rsidR="004735DA" w:rsidRDefault="004735DA" w:rsidP="00FF0260">
      <w:pPr>
        <w:pStyle w:val="NumberedParagraph"/>
        <w:numPr>
          <w:ilvl w:val="0"/>
          <w:numId w:val="19"/>
        </w:numPr>
      </w:pPr>
      <w:r>
        <w:t>Benue State Financial Instruction</w:t>
      </w:r>
      <w:r w:rsidR="00044C32">
        <w:t>s</w:t>
      </w:r>
      <w:r>
        <w:t>.</w:t>
      </w:r>
    </w:p>
    <w:p w14:paraId="17C67C30" w14:textId="77B0DD39" w:rsidR="00DE4DA3" w:rsidRDefault="004735DA" w:rsidP="00FF0260">
      <w:pPr>
        <w:pStyle w:val="NumberedParagraph"/>
        <w:numPr>
          <w:ilvl w:val="0"/>
          <w:numId w:val="19"/>
        </w:numPr>
      </w:pPr>
      <w:r>
        <w:t>Appropriation Law passed annually by the Benue State House of Assembly.</w:t>
      </w:r>
    </w:p>
    <w:p w14:paraId="5A7263E8" w14:textId="66436C10" w:rsidR="00312D43" w:rsidRDefault="00DE4DA3" w:rsidP="00312D43">
      <w:pPr>
        <w:pStyle w:val="NumberedParagraph"/>
      </w:pPr>
      <w:r w:rsidRPr="00DE4DA3">
        <w:t xml:space="preserve">Institutional Framework for PFM in </w:t>
      </w:r>
      <w:r w:rsidR="002B4022">
        <w:t>Benue</w:t>
      </w:r>
      <w:r w:rsidRPr="00DE4DA3">
        <w:t xml:space="preserve"> </w:t>
      </w:r>
      <w:r>
        <w:t>S</w:t>
      </w:r>
      <w:r w:rsidRPr="00DE4DA3">
        <w:t>tate</w:t>
      </w:r>
      <w:r>
        <w:t xml:space="preserve"> – </w:t>
      </w:r>
      <w:r w:rsidR="00312D43">
        <w:t>The Constitution vests the executive powers of the State in the Governor. The Constitution provides that “the Governor shall cause to be prepared and laid before the House of Assembly at any time before the commencement of each financial year, estimates of the revenues and expenditure of the State for the next following financial year”. The Governor of Benue State exercises his executive powers either directly or through the Deputy Governor, the Commissioners, Special Advisers, Permanent Secretaries, and other officers in the public service of the State.</w:t>
      </w:r>
    </w:p>
    <w:p w14:paraId="716F998A" w14:textId="4ADF7077" w:rsidR="00312D43" w:rsidRDefault="00312D43" w:rsidP="00312D43">
      <w:pPr>
        <w:pStyle w:val="NumberedParagraph"/>
      </w:pPr>
      <w:r>
        <w:t>Specifically, Benue State Executive Council (</w:t>
      </w:r>
      <w:proofErr w:type="spellStart"/>
      <w:r>
        <w:t>E</w:t>
      </w:r>
      <w:r w:rsidR="00E75616">
        <w:t>x</w:t>
      </w:r>
      <w:r>
        <w:t>CO</w:t>
      </w:r>
      <w:proofErr w:type="spellEnd"/>
      <w:r>
        <w:t xml:space="preserve">) formulates the policies of the State Government, considers, and recommends the State’s budget to the House of Assembly. On passage, the Governor signs the appropriation bill into law. </w:t>
      </w:r>
    </w:p>
    <w:p w14:paraId="5E30483A" w14:textId="169F7F3C" w:rsidR="002B4022" w:rsidRDefault="00312D43" w:rsidP="00A46830">
      <w:pPr>
        <w:pStyle w:val="NumberedParagraph"/>
      </w:pPr>
      <w:r>
        <w:t>The Benue State Institutional Framework is guided by principles of fiscal discipline, strategic resource allocation and efficient service delivery, like the Benue State Government’s Arrears Clearance Framework.</w:t>
      </w:r>
    </w:p>
    <w:p w14:paraId="4C67BFD4" w14:textId="502EBFA7" w:rsidR="001B2C28" w:rsidRPr="00724405" w:rsidRDefault="001B2C28" w:rsidP="001B2C28">
      <w:pPr>
        <w:pStyle w:val="NumberedParagraph"/>
        <w:rPr>
          <w:rFonts w:eastAsia="TrebuchetMS"/>
        </w:rPr>
      </w:pPr>
      <w:r w:rsidRPr="00724405">
        <w:rPr>
          <w:rFonts w:eastAsia="TrebuchetMS"/>
        </w:rPr>
        <w:t xml:space="preserve">The State Budget and Economic Planning </w:t>
      </w:r>
      <w:r w:rsidR="007E4B45">
        <w:rPr>
          <w:rFonts w:eastAsia="TrebuchetMS"/>
        </w:rPr>
        <w:t xml:space="preserve">Commission </w:t>
      </w:r>
      <w:r w:rsidRPr="00724405">
        <w:rPr>
          <w:rFonts w:eastAsia="TrebuchetMS"/>
        </w:rPr>
        <w:t xml:space="preserve">oversees the preparation of the budget, both capital and recurrent. It is also in charge of planning (long and medium-term), setting the broad agenda for development.  The </w:t>
      </w:r>
      <w:r w:rsidR="008C0ABD">
        <w:rPr>
          <w:rFonts w:eastAsia="TrebuchetMS"/>
        </w:rPr>
        <w:t>commission</w:t>
      </w:r>
      <w:r w:rsidRPr="00724405">
        <w:rPr>
          <w:rFonts w:eastAsia="TrebuchetMS"/>
        </w:rPr>
        <w:t xml:space="preserve"> is the organ of the </w:t>
      </w:r>
      <w:proofErr w:type="spellStart"/>
      <w:r w:rsidRPr="00724405">
        <w:rPr>
          <w:rFonts w:eastAsia="TrebuchetMS"/>
        </w:rPr>
        <w:t>E</w:t>
      </w:r>
      <w:r w:rsidR="00E75616">
        <w:rPr>
          <w:rFonts w:eastAsia="TrebuchetMS"/>
        </w:rPr>
        <w:t>x</w:t>
      </w:r>
      <w:r w:rsidRPr="00724405">
        <w:rPr>
          <w:rFonts w:eastAsia="TrebuchetMS"/>
        </w:rPr>
        <w:t>CO</w:t>
      </w:r>
      <w:proofErr w:type="spellEnd"/>
      <w:r w:rsidRPr="00724405">
        <w:rPr>
          <w:rFonts w:eastAsia="TrebuchetMS"/>
        </w:rPr>
        <w:t xml:space="preserve"> </w:t>
      </w:r>
      <w:r w:rsidR="00EE6518">
        <w:rPr>
          <w:rFonts w:eastAsia="TrebuchetMS"/>
        </w:rPr>
        <w:t>that</w:t>
      </w:r>
      <w:r w:rsidRPr="00724405">
        <w:rPr>
          <w:rFonts w:eastAsia="TrebuchetMS"/>
        </w:rPr>
        <w:t xml:space="preserve"> formulat</w:t>
      </w:r>
      <w:r w:rsidR="008C0ABD">
        <w:rPr>
          <w:rFonts w:eastAsia="TrebuchetMS"/>
        </w:rPr>
        <w:t>es</w:t>
      </w:r>
      <w:r w:rsidRPr="00724405">
        <w:rPr>
          <w:rFonts w:eastAsia="TrebuchetMS"/>
        </w:rPr>
        <w:t xml:space="preserve"> and execut</w:t>
      </w:r>
      <w:r w:rsidR="00EE6518">
        <w:rPr>
          <w:rFonts w:eastAsia="TrebuchetMS"/>
        </w:rPr>
        <w:t>es</w:t>
      </w:r>
      <w:r w:rsidRPr="00724405">
        <w:rPr>
          <w:rFonts w:eastAsia="TrebuchetMS"/>
        </w:rPr>
        <w:t xml:space="preserve"> fiscal policy.  </w:t>
      </w:r>
      <w:r w:rsidR="00EE6518">
        <w:rPr>
          <w:rFonts w:eastAsia="TrebuchetMS"/>
        </w:rPr>
        <w:t>It</w:t>
      </w:r>
      <w:r w:rsidRPr="00724405">
        <w:rPr>
          <w:rFonts w:eastAsia="TrebuchetMS"/>
        </w:rPr>
        <w:t xml:space="preserve"> also coordinates and manages the State’s fiscal policies and all revenue and expenditure </w:t>
      </w:r>
      <w:r>
        <w:rPr>
          <w:rFonts w:eastAsia="TrebuchetMS"/>
        </w:rPr>
        <w:t>profiles</w:t>
      </w:r>
      <w:r w:rsidRPr="00724405">
        <w:rPr>
          <w:rFonts w:eastAsia="TrebuchetMS"/>
        </w:rPr>
        <w:t xml:space="preserve"> of the government.</w:t>
      </w:r>
    </w:p>
    <w:p w14:paraId="43370E4B" w14:textId="5FD9E581" w:rsidR="001B2C28" w:rsidRPr="00724405" w:rsidRDefault="001B2C28" w:rsidP="001B2C28">
      <w:pPr>
        <w:pStyle w:val="NumberedParagraph"/>
        <w:rPr>
          <w:rFonts w:eastAsia="TrebuchetMS"/>
        </w:rPr>
      </w:pPr>
      <w:r w:rsidRPr="00724405">
        <w:rPr>
          <w:rFonts w:eastAsia="TrebuchetMS"/>
        </w:rPr>
        <w:t xml:space="preserve">The Ministry of Finance is responsible for core treasury functions </w:t>
      </w:r>
      <w:r w:rsidR="00B55CD4">
        <w:rPr>
          <w:rFonts w:eastAsia="TrebuchetMS"/>
        </w:rPr>
        <w:t xml:space="preserve">such as </w:t>
      </w:r>
      <w:r w:rsidRPr="00724405">
        <w:rPr>
          <w:rFonts w:eastAsia="TrebuchetMS"/>
        </w:rPr>
        <w:t>revenue and expenditure management, accounting, fund and cash management. The Ministry of Finance has two important quasi-autonomous agencies, the Office of the Accountant General for the State (OAGS) and the</w:t>
      </w:r>
      <w:r w:rsidR="00FF20E5">
        <w:rPr>
          <w:rFonts w:eastAsia="TrebuchetMS"/>
        </w:rPr>
        <w:t xml:space="preserve"> </w:t>
      </w:r>
      <w:r w:rsidR="001C16E7">
        <w:rPr>
          <w:rFonts w:eastAsia="TrebuchetMS"/>
        </w:rPr>
        <w:t>Benue</w:t>
      </w:r>
      <w:r w:rsidRPr="00724405">
        <w:rPr>
          <w:rFonts w:eastAsia="TrebuchetMS"/>
        </w:rPr>
        <w:t xml:space="preserve"> State Internal Revenue Services (</w:t>
      </w:r>
      <w:r w:rsidR="0022067A">
        <w:rPr>
          <w:rFonts w:eastAsia="TrebuchetMS"/>
        </w:rPr>
        <w:t>B</w:t>
      </w:r>
      <w:r w:rsidRPr="00724405">
        <w:rPr>
          <w:rFonts w:eastAsia="TrebuchetMS"/>
        </w:rPr>
        <w:t>IRS).</w:t>
      </w:r>
    </w:p>
    <w:p w14:paraId="322C2AC3" w14:textId="77777777" w:rsidR="001B2C28" w:rsidRPr="00724405" w:rsidRDefault="001B2C28" w:rsidP="001B2C28">
      <w:pPr>
        <w:pStyle w:val="NumberedParagraph"/>
        <w:rPr>
          <w:rFonts w:eastAsia="TrebuchetMS"/>
        </w:rPr>
      </w:pPr>
      <w:r w:rsidRPr="00724405">
        <w:rPr>
          <w:rFonts w:eastAsia="TrebuchetMS"/>
        </w:rPr>
        <w:t>Specific functions of the OAGS include accounting for all receipts and payments of the State Government; supervising the accounts of the State Ministries, Departments, and Agencies (MDAs); collating and preparing Statutory Financial Statements of the State Government and any other Statements of accounts required by the</w:t>
      </w:r>
      <w:r>
        <w:rPr>
          <w:rFonts w:eastAsia="TrebuchetMS"/>
        </w:rPr>
        <w:t xml:space="preserve"> </w:t>
      </w:r>
      <w:r w:rsidRPr="00724405">
        <w:rPr>
          <w:rFonts w:eastAsia="TrebuchetMS"/>
        </w:rPr>
        <w:t xml:space="preserve">Commissioner for Finance; maintain and operate the accounts of the Consolidated Revenue Fund, development fund, and other public funds and provide cash backing for the operations of the State Government; maintain and operate the State Government’s accounts; conduct routine and in-depth inspection of the books of accounts of State ministries, departments and agencies to ensure compliance with rules, regulations, policy decisions and maintenance of account codes; and formulate and implement the accounting policy of the State Government. </w:t>
      </w:r>
    </w:p>
    <w:p w14:paraId="63715AAC" w14:textId="06518C51" w:rsidR="001B2C28" w:rsidRPr="00724405" w:rsidRDefault="0090731D" w:rsidP="001B2C28">
      <w:pPr>
        <w:pStyle w:val="NumberedParagraph"/>
        <w:rPr>
          <w:rFonts w:eastAsia="TrebuchetMS"/>
        </w:rPr>
      </w:pPr>
      <w:r>
        <w:rPr>
          <w:rFonts w:eastAsia="TrebuchetMS"/>
        </w:rPr>
        <w:lastRenderedPageBreak/>
        <w:t>Benue</w:t>
      </w:r>
      <w:r w:rsidR="001B2C28" w:rsidRPr="00724405">
        <w:rPr>
          <w:rFonts w:eastAsia="TrebuchetMS"/>
        </w:rPr>
        <w:t xml:space="preserve"> State Internal Revenue Service is responsible for the generation of government revenue. The Board formulates and executes Joint Tax Board (JTB) policies on taxation, stamp duties, and motor vehicle licensing, among others.  </w:t>
      </w:r>
    </w:p>
    <w:p w14:paraId="0EB05E8A" w14:textId="76A76580" w:rsidR="001B2C28" w:rsidRPr="00724405" w:rsidRDefault="001B2C28" w:rsidP="001B2C28">
      <w:pPr>
        <w:pStyle w:val="NumberedParagraph"/>
        <w:rPr>
          <w:rFonts w:eastAsia="TrebuchetMS"/>
        </w:rPr>
      </w:pPr>
      <w:r w:rsidRPr="00724405">
        <w:t xml:space="preserve">The Debt Management </w:t>
      </w:r>
      <w:r w:rsidR="002017B4">
        <w:t>Office</w:t>
      </w:r>
      <w:r w:rsidRPr="00724405">
        <w:t xml:space="preserve"> manages </w:t>
      </w:r>
      <w:r w:rsidR="002017B4">
        <w:t>Benue</w:t>
      </w:r>
      <w:r w:rsidRPr="00724405">
        <w:t xml:space="preserve"> State public debt</w:t>
      </w:r>
      <w:r>
        <w:t>,</w:t>
      </w:r>
      <w:r w:rsidRPr="00724405">
        <w:t xml:space="preserve"> as well as liaising with the Debt Management Office at the Federal level.</w:t>
      </w:r>
      <w:r w:rsidRPr="00724405">
        <w:rPr>
          <w:rFonts w:eastAsia="TrebuchetMS"/>
        </w:rPr>
        <w:t xml:space="preserve"> </w:t>
      </w:r>
    </w:p>
    <w:p w14:paraId="1F2796BF" w14:textId="05A0816A" w:rsidR="001B2C28" w:rsidRPr="00724405" w:rsidRDefault="001B2C28" w:rsidP="001B2C28">
      <w:pPr>
        <w:pStyle w:val="NumberedParagraph"/>
      </w:pPr>
      <w:r w:rsidRPr="00724405">
        <w:t xml:space="preserve">Another important institutional framework in the circle of financial management in the State is the Public Procurement </w:t>
      </w:r>
      <w:r w:rsidR="00F14CD9">
        <w:t>Commiss</w:t>
      </w:r>
      <w:r w:rsidR="005D463D">
        <w:t>ion</w:t>
      </w:r>
      <w:r w:rsidRPr="00724405">
        <w:t xml:space="preserve">. The </w:t>
      </w:r>
      <w:r w:rsidR="005D463D">
        <w:t>commission</w:t>
      </w:r>
      <w:r w:rsidRPr="00724405">
        <w:t xml:space="preserve"> plays a significant role in ensuring that all MDAs adhere to the best practices in procurement.</w:t>
      </w:r>
    </w:p>
    <w:p w14:paraId="10A152A1" w14:textId="50CDBC40" w:rsidR="00353E52" w:rsidRDefault="000E5C29" w:rsidP="00680F5A">
      <w:pPr>
        <w:pStyle w:val="NumberedParagraph"/>
      </w:pPr>
      <w:r>
        <w:t xml:space="preserve">Benue </w:t>
      </w:r>
      <w:r w:rsidR="001B2C28" w:rsidRPr="00724405">
        <w:t xml:space="preserve">State Fiscal Responsibility </w:t>
      </w:r>
      <w:r w:rsidR="00EA4FE8">
        <w:t>Commission</w:t>
      </w:r>
      <w:r w:rsidR="001B2C28" w:rsidRPr="00724405">
        <w:t xml:space="preserve"> is responsible for monitoring compliance with the State`s appropriation law. It is to ensure that expenditures incurred are provided for in the annual budget derived through the State’s Development Plan.</w:t>
      </w:r>
    </w:p>
    <w:p w14:paraId="66636C48" w14:textId="72748C6F" w:rsidR="00DE4DA3" w:rsidRDefault="00DE4DA3" w:rsidP="00DE4DA3">
      <w:pPr>
        <w:pStyle w:val="Heading3"/>
        <w:ind w:left="709" w:hanging="709"/>
      </w:pPr>
      <w:bookmarkStart w:id="9" w:name="_Toc208941436"/>
      <w:r w:rsidRPr="00DE4DA3">
        <w:t>Overview of Budget Calendar</w:t>
      </w:r>
      <w:bookmarkEnd w:id="9"/>
    </w:p>
    <w:p w14:paraId="7C3C7A7A" w14:textId="39D3CDFF" w:rsidR="00DE4DA3" w:rsidRDefault="00DE4DA3" w:rsidP="00DE4DA3">
      <w:pPr>
        <w:pStyle w:val="NumberedParagraph"/>
      </w:pPr>
      <w:r w:rsidRPr="00DE4DA3">
        <w:t>Indicative Budget Calendar for</w:t>
      </w:r>
      <w:r w:rsidR="002B4022">
        <w:t xml:space="preserve"> Benue</w:t>
      </w:r>
      <w:r w:rsidRPr="00DE4DA3">
        <w:t xml:space="preserve"> State Government is presented below</w:t>
      </w:r>
      <w:r>
        <w:t>:</w:t>
      </w:r>
    </w:p>
    <w:p w14:paraId="564466B2" w14:textId="500E274E" w:rsidR="00DE4DA3" w:rsidRDefault="00DE4DA3" w:rsidP="00DE4DA3">
      <w:pPr>
        <w:pStyle w:val="Caption"/>
      </w:pPr>
      <w:bookmarkStart w:id="10" w:name="_Toc208941478"/>
      <w:r>
        <w:t xml:space="preserve">Table </w:t>
      </w:r>
      <w:fldSimple w:instr=" SEQ Table \* ARABIC ">
        <w:r w:rsidR="00F60625">
          <w:rPr>
            <w:noProof/>
          </w:rPr>
          <w:t>1</w:t>
        </w:r>
      </w:fldSimple>
      <w:r>
        <w:t xml:space="preserve">: </w:t>
      </w:r>
      <w:r w:rsidRPr="00DE4DA3">
        <w:t>Budget Calendar</w:t>
      </w:r>
      <w:bookmarkEnd w:id="10"/>
    </w:p>
    <w:tbl>
      <w:tblPr>
        <w:tblW w:w="4876" w:type="pct"/>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1E0" w:firstRow="1" w:lastRow="1" w:firstColumn="1" w:lastColumn="1" w:noHBand="0" w:noVBand="0"/>
      </w:tblPr>
      <w:tblGrid>
        <w:gridCol w:w="4560"/>
        <w:gridCol w:w="1985"/>
        <w:gridCol w:w="2834"/>
      </w:tblGrid>
      <w:tr w:rsidR="00DE4DA3" w:rsidRPr="00B848D1" w14:paraId="37222E41" w14:textId="77777777" w:rsidTr="00DE4DA3">
        <w:trPr>
          <w:cantSplit/>
          <w:tblHeader/>
        </w:trPr>
        <w:tc>
          <w:tcPr>
            <w:tcW w:w="2431" w:type="pct"/>
            <w:shd w:val="clear" w:color="auto" w:fill="404040" w:themeFill="text1" w:themeFillTint="BF"/>
            <w:vAlign w:val="center"/>
          </w:tcPr>
          <w:p w14:paraId="21AE74F8" w14:textId="13C38D38" w:rsidR="00DE4DA3" w:rsidRPr="00DE4DA3" w:rsidRDefault="00DE4DA3" w:rsidP="00DE4DA3">
            <w:pPr>
              <w:pStyle w:val="Table"/>
              <w:jc w:val="center"/>
              <w:rPr>
                <w:b/>
                <w:bCs/>
              </w:rPr>
            </w:pPr>
            <w:r w:rsidRPr="00DE4DA3">
              <w:rPr>
                <w:b/>
                <w:bCs/>
                <w:color w:val="FFFFFF" w:themeColor="background1"/>
              </w:rPr>
              <w:t>Stage</w:t>
            </w:r>
          </w:p>
        </w:tc>
        <w:tc>
          <w:tcPr>
            <w:tcW w:w="1058" w:type="pct"/>
            <w:shd w:val="clear" w:color="auto" w:fill="404040" w:themeFill="text1" w:themeFillTint="BF"/>
          </w:tcPr>
          <w:p w14:paraId="6D5D9A6F" w14:textId="4FE5FA2D" w:rsidR="00DE4DA3" w:rsidRPr="00DE4DA3" w:rsidRDefault="00DE4DA3" w:rsidP="00DE4DA3">
            <w:pPr>
              <w:pStyle w:val="Table"/>
              <w:jc w:val="center"/>
              <w:rPr>
                <w:b/>
                <w:bCs/>
                <w:color w:val="FFFFFF" w:themeColor="background1"/>
              </w:rPr>
            </w:pPr>
            <w:r w:rsidRPr="00DE4DA3">
              <w:rPr>
                <w:b/>
                <w:bCs/>
                <w:color w:val="FFFFFF" w:themeColor="background1"/>
              </w:rPr>
              <w:t>Date(s)</w:t>
            </w:r>
          </w:p>
        </w:tc>
        <w:tc>
          <w:tcPr>
            <w:tcW w:w="1511" w:type="pct"/>
            <w:shd w:val="clear" w:color="auto" w:fill="404040" w:themeFill="text1" w:themeFillTint="BF"/>
            <w:vAlign w:val="center"/>
          </w:tcPr>
          <w:p w14:paraId="254A86CD" w14:textId="18CA5D9F" w:rsidR="00DE4DA3" w:rsidRPr="00DE4DA3" w:rsidRDefault="00DE4DA3" w:rsidP="00DE4DA3">
            <w:pPr>
              <w:pStyle w:val="Table"/>
              <w:jc w:val="center"/>
              <w:rPr>
                <w:b/>
                <w:bCs/>
                <w:color w:val="FFFFFF" w:themeColor="background1"/>
              </w:rPr>
            </w:pPr>
            <w:r w:rsidRPr="00DE4DA3">
              <w:rPr>
                <w:b/>
                <w:bCs/>
                <w:color w:val="FFFFFF" w:themeColor="background1"/>
              </w:rPr>
              <w:t>Responsibility</w:t>
            </w:r>
          </w:p>
        </w:tc>
      </w:tr>
      <w:tr w:rsidR="0080148C" w:rsidRPr="00D91798" w14:paraId="1D346176" w14:textId="77777777" w:rsidTr="009A5BBD">
        <w:trPr>
          <w:cantSplit/>
        </w:trPr>
        <w:tc>
          <w:tcPr>
            <w:tcW w:w="2431" w:type="pct"/>
            <w:vAlign w:val="center"/>
          </w:tcPr>
          <w:p w14:paraId="5FC04015" w14:textId="172430BF" w:rsidR="0080148C" w:rsidRPr="00A46F94" w:rsidRDefault="00717A67" w:rsidP="0080148C">
            <w:pPr>
              <w:pStyle w:val="Table"/>
            </w:pPr>
            <w:r>
              <w:t>Sector</w:t>
            </w:r>
            <w:r w:rsidR="0080148C" w:rsidRPr="00E349B4">
              <w:t xml:space="preserve"> Performance Review (Previous Year)</w:t>
            </w:r>
          </w:p>
        </w:tc>
        <w:tc>
          <w:tcPr>
            <w:tcW w:w="1058" w:type="pct"/>
            <w:vAlign w:val="center"/>
          </w:tcPr>
          <w:p w14:paraId="391B3C7C" w14:textId="1B10F86C" w:rsidR="0080148C" w:rsidRPr="00D91798" w:rsidRDefault="0080148C" w:rsidP="0080148C">
            <w:pPr>
              <w:pStyle w:val="Table"/>
            </w:pPr>
            <w:r w:rsidRPr="00E349B4">
              <w:t>January – February</w:t>
            </w:r>
          </w:p>
        </w:tc>
        <w:tc>
          <w:tcPr>
            <w:tcW w:w="1511" w:type="pct"/>
            <w:vAlign w:val="center"/>
          </w:tcPr>
          <w:p w14:paraId="3FD65980" w14:textId="7166E969" w:rsidR="0080148C" w:rsidRPr="00D91798" w:rsidRDefault="0080148C" w:rsidP="0080148C">
            <w:pPr>
              <w:pStyle w:val="Table"/>
            </w:pPr>
            <w:r w:rsidRPr="00E349B4">
              <w:t xml:space="preserve">Ministry of Finance, </w:t>
            </w:r>
            <w:r w:rsidR="00AF194C">
              <w:t xml:space="preserve">Benue State </w:t>
            </w:r>
            <w:r w:rsidRPr="00E349B4">
              <w:t>Budget &amp; Economic Planning Commission, MDAs</w:t>
            </w:r>
          </w:p>
        </w:tc>
      </w:tr>
      <w:tr w:rsidR="0080148C" w:rsidRPr="009655E0" w14:paraId="43B58847" w14:textId="77777777" w:rsidTr="009A5BBD">
        <w:trPr>
          <w:cantSplit/>
        </w:trPr>
        <w:tc>
          <w:tcPr>
            <w:tcW w:w="2431" w:type="pct"/>
            <w:vAlign w:val="center"/>
          </w:tcPr>
          <w:p w14:paraId="74E4D12A" w14:textId="456E81B5" w:rsidR="0080148C" w:rsidRPr="00A46F94" w:rsidRDefault="00F75FD0" w:rsidP="0080148C">
            <w:pPr>
              <w:pStyle w:val="Table"/>
            </w:pPr>
            <w:r w:rsidRPr="00E349B4">
              <w:t>Draft Medium-Term Expenditure Framework (MTEF) &amp; Fiscal Strategy Paper (FSP)</w:t>
            </w:r>
          </w:p>
        </w:tc>
        <w:tc>
          <w:tcPr>
            <w:tcW w:w="1058" w:type="pct"/>
            <w:vAlign w:val="center"/>
          </w:tcPr>
          <w:p w14:paraId="544017C9" w14:textId="03D85855" w:rsidR="0080148C" w:rsidRPr="009655E0" w:rsidRDefault="00F75FD0" w:rsidP="0080148C">
            <w:pPr>
              <w:pStyle w:val="Table"/>
            </w:pPr>
            <w:r w:rsidRPr="00E349B4">
              <w:t>July</w:t>
            </w:r>
            <w:r w:rsidR="00725F0C">
              <w:t xml:space="preserve"> – August </w:t>
            </w:r>
          </w:p>
        </w:tc>
        <w:tc>
          <w:tcPr>
            <w:tcW w:w="1511" w:type="pct"/>
            <w:vAlign w:val="center"/>
          </w:tcPr>
          <w:p w14:paraId="717F8245" w14:textId="57416BFB" w:rsidR="0080148C" w:rsidRPr="009655E0" w:rsidRDefault="00AF194C" w:rsidP="0080148C">
            <w:pPr>
              <w:pStyle w:val="Table"/>
            </w:pPr>
            <w:r>
              <w:t xml:space="preserve">Benue State </w:t>
            </w:r>
            <w:r w:rsidR="00F75FD0" w:rsidRPr="00E349B4">
              <w:t>Budget &amp; Economic Planning Commission, Ministry of Finance</w:t>
            </w:r>
          </w:p>
        </w:tc>
      </w:tr>
      <w:tr w:rsidR="009955F0" w:rsidRPr="009655E0" w14:paraId="4CB2E581" w14:textId="77777777" w:rsidTr="009A5BBD">
        <w:trPr>
          <w:cantSplit/>
        </w:trPr>
        <w:tc>
          <w:tcPr>
            <w:tcW w:w="2431" w:type="pct"/>
            <w:vAlign w:val="center"/>
          </w:tcPr>
          <w:p w14:paraId="30F440FA" w14:textId="7F31F6E1" w:rsidR="009955F0" w:rsidRPr="00A46F94" w:rsidRDefault="009955F0" w:rsidP="009955F0">
            <w:pPr>
              <w:pStyle w:val="Table"/>
            </w:pPr>
            <w:r w:rsidRPr="00E349B4">
              <w:t>Issuance of Budget Call Circular</w:t>
            </w:r>
          </w:p>
        </w:tc>
        <w:tc>
          <w:tcPr>
            <w:tcW w:w="1058" w:type="pct"/>
            <w:vAlign w:val="center"/>
          </w:tcPr>
          <w:p w14:paraId="256D71DE" w14:textId="651E59D5" w:rsidR="009955F0" w:rsidRPr="009655E0" w:rsidRDefault="009955F0" w:rsidP="009955F0">
            <w:pPr>
              <w:pStyle w:val="Table"/>
            </w:pPr>
            <w:r w:rsidRPr="00E349B4">
              <w:t>July</w:t>
            </w:r>
            <w:r>
              <w:t xml:space="preserve"> – August </w:t>
            </w:r>
          </w:p>
        </w:tc>
        <w:tc>
          <w:tcPr>
            <w:tcW w:w="1511" w:type="pct"/>
            <w:vAlign w:val="center"/>
          </w:tcPr>
          <w:p w14:paraId="72B60A37" w14:textId="3DBBCCAD" w:rsidR="009955F0" w:rsidRPr="009655E0" w:rsidRDefault="009955F0" w:rsidP="009955F0">
            <w:pPr>
              <w:pStyle w:val="Table"/>
            </w:pPr>
            <w:r>
              <w:t xml:space="preserve">Benue State </w:t>
            </w:r>
            <w:r w:rsidRPr="00E349B4">
              <w:t>Budget &amp; Economic Planning Commission</w:t>
            </w:r>
          </w:p>
        </w:tc>
      </w:tr>
      <w:tr w:rsidR="009955F0" w:rsidRPr="009655E0" w14:paraId="7B7E6ED0" w14:textId="77777777" w:rsidTr="009A5BBD">
        <w:trPr>
          <w:cantSplit/>
        </w:trPr>
        <w:tc>
          <w:tcPr>
            <w:tcW w:w="2431" w:type="pct"/>
            <w:vAlign w:val="center"/>
          </w:tcPr>
          <w:p w14:paraId="6B7D25BB" w14:textId="0C668D73" w:rsidR="009955F0" w:rsidRPr="00A46F94" w:rsidRDefault="009955F0" w:rsidP="009955F0">
            <w:pPr>
              <w:pStyle w:val="Table"/>
            </w:pPr>
            <w:r w:rsidRPr="00E349B4">
              <w:t>MDA Budget Preparation</w:t>
            </w:r>
          </w:p>
        </w:tc>
        <w:tc>
          <w:tcPr>
            <w:tcW w:w="1058" w:type="pct"/>
            <w:vAlign w:val="center"/>
          </w:tcPr>
          <w:p w14:paraId="3B1D73FD" w14:textId="42D0957F" w:rsidR="009955F0" w:rsidRPr="009655E0" w:rsidRDefault="009955F0" w:rsidP="009955F0">
            <w:pPr>
              <w:pStyle w:val="Table"/>
            </w:pPr>
            <w:r>
              <w:t xml:space="preserve">September – October </w:t>
            </w:r>
          </w:p>
        </w:tc>
        <w:tc>
          <w:tcPr>
            <w:tcW w:w="1511" w:type="pct"/>
            <w:vAlign w:val="center"/>
          </w:tcPr>
          <w:p w14:paraId="73F790E4" w14:textId="0DD3E6DF" w:rsidR="009955F0" w:rsidRPr="009655E0" w:rsidRDefault="009955F0" w:rsidP="009955F0">
            <w:pPr>
              <w:pStyle w:val="Table"/>
            </w:pPr>
            <w:r w:rsidRPr="00E349B4">
              <w:t>All Ministries, Departments &amp; Agencies (MDAs)</w:t>
            </w:r>
          </w:p>
        </w:tc>
      </w:tr>
      <w:tr w:rsidR="009955F0" w:rsidRPr="009655E0" w14:paraId="0C3DED3E" w14:textId="77777777" w:rsidTr="009A5BBD">
        <w:trPr>
          <w:cantSplit/>
        </w:trPr>
        <w:tc>
          <w:tcPr>
            <w:tcW w:w="2431" w:type="pct"/>
            <w:vAlign w:val="center"/>
          </w:tcPr>
          <w:p w14:paraId="719B7E13" w14:textId="154CB269" w:rsidR="009955F0" w:rsidRPr="00A46F94" w:rsidRDefault="009955F0" w:rsidP="009955F0">
            <w:pPr>
              <w:pStyle w:val="Table"/>
            </w:pPr>
            <w:r w:rsidRPr="00E349B4">
              <w:t>MDA–Budget Office Bilateral Discussions</w:t>
            </w:r>
          </w:p>
        </w:tc>
        <w:tc>
          <w:tcPr>
            <w:tcW w:w="1058" w:type="pct"/>
            <w:vAlign w:val="center"/>
          </w:tcPr>
          <w:p w14:paraId="7540A3BF" w14:textId="42E5E45E" w:rsidR="009955F0" w:rsidRPr="009655E0" w:rsidRDefault="009955F0" w:rsidP="009955F0">
            <w:pPr>
              <w:pStyle w:val="Table"/>
            </w:pPr>
            <w:r>
              <w:t>October</w:t>
            </w:r>
          </w:p>
        </w:tc>
        <w:tc>
          <w:tcPr>
            <w:tcW w:w="1511" w:type="pct"/>
            <w:vAlign w:val="center"/>
          </w:tcPr>
          <w:p w14:paraId="4BD6D889" w14:textId="1C0B8428" w:rsidR="009955F0" w:rsidRPr="009655E0" w:rsidRDefault="009955F0" w:rsidP="009955F0">
            <w:pPr>
              <w:pStyle w:val="Table"/>
            </w:pPr>
            <w:r>
              <w:t xml:space="preserve">Benue State </w:t>
            </w:r>
            <w:r w:rsidRPr="00E349B4">
              <w:t>Budget &amp; Economic Planning Commission, MDAs</w:t>
            </w:r>
          </w:p>
        </w:tc>
      </w:tr>
      <w:tr w:rsidR="009955F0" w:rsidRPr="009655E0" w14:paraId="4A7D84AD" w14:textId="77777777" w:rsidTr="009A5BBD">
        <w:trPr>
          <w:cantSplit/>
        </w:trPr>
        <w:tc>
          <w:tcPr>
            <w:tcW w:w="2431" w:type="pct"/>
            <w:vAlign w:val="center"/>
          </w:tcPr>
          <w:p w14:paraId="7738408F" w14:textId="79368D48" w:rsidR="009955F0" w:rsidRPr="00A46F94" w:rsidRDefault="009955F0" w:rsidP="009955F0">
            <w:pPr>
              <w:pStyle w:val="Table"/>
            </w:pPr>
            <w:r w:rsidRPr="00E349B4">
              <w:t>Submission of Draft Budget to State Executive Council (SEC)</w:t>
            </w:r>
          </w:p>
        </w:tc>
        <w:tc>
          <w:tcPr>
            <w:tcW w:w="1058" w:type="pct"/>
            <w:vAlign w:val="center"/>
          </w:tcPr>
          <w:p w14:paraId="4411A875" w14:textId="577872F2" w:rsidR="009955F0" w:rsidRPr="009655E0" w:rsidRDefault="009955F0" w:rsidP="009955F0">
            <w:pPr>
              <w:pStyle w:val="Table"/>
            </w:pPr>
            <w:r w:rsidRPr="00E349B4">
              <w:t>September</w:t>
            </w:r>
          </w:p>
        </w:tc>
        <w:tc>
          <w:tcPr>
            <w:tcW w:w="1511" w:type="pct"/>
            <w:vAlign w:val="center"/>
          </w:tcPr>
          <w:p w14:paraId="747869BE" w14:textId="430CDFF9" w:rsidR="009955F0" w:rsidRPr="009655E0" w:rsidRDefault="009955F0" w:rsidP="009955F0">
            <w:pPr>
              <w:pStyle w:val="Table"/>
            </w:pPr>
            <w:r>
              <w:t xml:space="preserve">Benue State </w:t>
            </w:r>
            <w:r w:rsidRPr="00E349B4">
              <w:t>Budget &amp; Economic Planning Commission</w:t>
            </w:r>
          </w:p>
        </w:tc>
      </w:tr>
      <w:tr w:rsidR="009955F0" w:rsidRPr="009655E0" w14:paraId="5A1B785B" w14:textId="77777777" w:rsidTr="009A5BBD">
        <w:trPr>
          <w:cantSplit/>
        </w:trPr>
        <w:tc>
          <w:tcPr>
            <w:tcW w:w="2431" w:type="pct"/>
            <w:vAlign w:val="center"/>
          </w:tcPr>
          <w:p w14:paraId="161FCA0B" w14:textId="2CDD4D15" w:rsidR="009955F0" w:rsidRPr="00A46F94" w:rsidRDefault="009955F0" w:rsidP="009955F0">
            <w:pPr>
              <w:pStyle w:val="Table"/>
            </w:pPr>
            <w:r w:rsidRPr="00E349B4">
              <w:t xml:space="preserve">Presentation of Appropriation Bill to </w:t>
            </w:r>
            <w:r>
              <w:t xml:space="preserve">the </w:t>
            </w:r>
            <w:r w:rsidRPr="00E349B4">
              <w:t>House of Assembly</w:t>
            </w:r>
          </w:p>
        </w:tc>
        <w:tc>
          <w:tcPr>
            <w:tcW w:w="1058" w:type="pct"/>
            <w:vAlign w:val="center"/>
          </w:tcPr>
          <w:p w14:paraId="7AD2D17F" w14:textId="535A291E" w:rsidR="009955F0" w:rsidRPr="009655E0" w:rsidRDefault="009955F0" w:rsidP="009955F0">
            <w:pPr>
              <w:pStyle w:val="Table"/>
            </w:pPr>
            <w:r>
              <w:t>November</w:t>
            </w:r>
          </w:p>
        </w:tc>
        <w:tc>
          <w:tcPr>
            <w:tcW w:w="1511" w:type="pct"/>
            <w:vAlign w:val="center"/>
          </w:tcPr>
          <w:p w14:paraId="3BB9987B" w14:textId="13999BC3" w:rsidR="009955F0" w:rsidRPr="009655E0" w:rsidRDefault="009955F0" w:rsidP="009955F0">
            <w:pPr>
              <w:pStyle w:val="Table"/>
            </w:pPr>
            <w:r w:rsidRPr="00E349B4">
              <w:t>Governor</w:t>
            </w:r>
          </w:p>
        </w:tc>
      </w:tr>
      <w:tr w:rsidR="009955F0" w:rsidRPr="009655E0" w14:paraId="7FCFD065" w14:textId="77777777" w:rsidTr="009A5BBD">
        <w:trPr>
          <w:cantSplit/>
        </w:trPr>
        <w:tc>
          <w:tcPr>
            <w:tcW w:w="2431" w:type="pct"/>
            <w:vAlign w:val="center"/>
          </w:tcPr>
          <w:p w14:paraId="315AD868" w14:textId="3906677A" w:rsidR="009955F0" w:rsidRPr="00A46F94" w:rsidRDefault="009955F0" w:rsidP="009955F0">
            <w:pPr>
              <w:pStyle w:val="Table"/>
            </w:pPr>
            <w:r w:rsidRPr="00E349B4">
              <w:t>Legislative Review &amp; Public Hearings</w:t>
            </w:r>
          </w:p>
        </w:tc>
        <w:tc>
          <w:tcPr>
            <w:tcW w:w="1058" w:type="pct"/>
            <w:vAlign w:val="center"/>
          </w:tcPr>
          <w:p w14:paraId="052CDEEF" w14:textId="7FA61212" w:rsidR="009955F0" w:rsidRPr="009655E0" w:rsidRDefault="009955F0" w:rsidP="009955F0">
            <w:pPr>
              <w:pStyle w:val="Table"/>
            </w:pPr>
            <w:r>
              <w:t>November</w:t>
            </w:r>
            <w:r w:rsidRPr="00E349B4">
              <w:t xml:space="preserve"> – December</w:t>
            </w:r>
          </w:p>
        </w:tc>
        <w:tc>
          <w:tcPr>
            <w:tcW w:w="1511" w:type="pct"/>
            <w:vAlign w:val="center"/>
          </w:tcPr>
          <w:p w14:paraId="25711F70" w14:textId="59F5B188" w:rsidR="009955F0" w:rsidRPr="009655E0" w:rsidRDefault="009955F0" w:rsidP="009955F0">
            <w:pPr>
              <w:pStyle w:val="Table"/>
            </w:pPr>
            <w:r w:rsidRPr="00E349B4">
              <w:t>House of Assembl</w:t>
            </w:r>
            <w:r>
              <w:t>y</w:t>
            </w:r>
          </w:p>
        </w:tc>
      </w:tr>
      <w:tr w:rsidR="009955F0" w:rsidRPr="009655E0" w14:paraId="3A1C1FD0" w14:textId="77777777" w:rsidTr="009A5BBD">
        <w:trPr>
          <w:cantSplit/>
        </w:trPr>
        <w:tc>
          <w:tcPr>
            <w:tcW w:w="2431" w:type="pct"/>
            <w:vAlign w:val="center"/>
          </w:tcPr>
          <w:p w14:paraId="6CA5D9A8" w14:textId="6F8A3541" w:rsidR="009955F0" w:rsidRPr="00E349B4" w:rsidRDefault="009955F0" w:rsidP="009955F0">
            <w:pPr>
              <w:pStyle w:val="Table"/>
            </w:pPr>
            <w:r w:rsidRPr="00E349B4">
              <w:t>Passage of Appropriation Bill</w:t>
            </w:r>
          </w:p>
        </w:tc>
        <w:tc>
          <w:tcPr>
            <w:tcW w:w="1058" w:type="pct"/>
            <w:vAlign w:val="center"/>
          </w:tcPr>
          <w:p w14:paraId="319BFF9D" w14:textId="63FD2FAC" w:rsidR="009955F0" w:rsidRPr="00112E72" w:rsidRDefault="009955F0" w:rsidP="009955F0">
            <w:pPr>
              <w:pStyle w:val="Table"/>
            </w:pPr>
            <w:r w:rsidRPr="00E349B4">
              <w:t>December</w:t>
            </w:r>
          </w:p>
        </w:tc>
        <w:tc>
          <w:tcPr>
            <w:tcW w:w="1511" w:type="pct"/>
            <w:vAlign w:val="center"/>
          </w:tcPr>
          <w:p w14:paraId="48A9EDFF" w14:textId="25C57C8D" w:rsidR="009955F0" w:rsidRPr="009655E0" w:rsidRDefault="009955F0" w:rsidP="009955F0">
            <w:pPr>
              <w:pStyle w:val="Table"/>
            </w:pPr>
            <w:r w:rsidRPr="00E349B4">
              <w:t>House of Assembly</w:t>
            </w:r>
          </w:p>
        </w:tc>
      </w:tr>
      <w:tr w:rsidR="009955F0" w:rsidRPr="009655E0" w14:paraId="15A3E561" w14:textId="77777777" w:rsidTr="009A5BBD">
        <w:trPr>
          <w:cantSplit/>
        </w:trPr>
        <w:tc>
          <w:tcPr>
            <w:tcW w:w="2431" w:type="pct"/>
            <w:vAlign w:val="center"/>
          </w:tcPr>
          <w:p w14:paraId="031D74AA" w14:textId="410491BE" w:rsidR="009955F0" w:rsidRPr="00E349B4" w:rsidRDefault="009955F0" w:rsidP="009955F0">
            <w:pPr>
              <w:pStyle w:val="Table"/>
            </w:pPr>
            <w:r w:rsidRPr="00E349B4">
              <w:t>Assent of Appropriation Bil</w:t>
            </w:r>
            <w:r>
              <w:t>l</w:t>
            </w:r>
          </w:p>
        </w:tc>
        <w:tc>
          <w:tcPr>
            <w:tcW w:w="1058" w:type="pct"/>
            <w:vAlign w:val="center"/>
          </w:tcPr>
          <w:p w14:paraId="1C114EEA" w14:textId="23281B6F" w:rsidR="009955F0" w:rsidRPr="00E349B4" w:rsidRDefault="009955F0" w:rsidP="009955F0">
            <w:pPr>
              <w:pStyle w:val="Table"/>
            </w:pPr>
            <w:r w:rsidRPr="00E349B4">
              <w:t>December</w:t>
            </w:r>
          </w:p>
        </w:tc>
        <w:tc>
          <w:tcPr>
            <w:tcW w:w="1511" w:type="pct"/>
            <w:vAlign w:val="center"/>
          </w:tcPr>
          <w:p w14:paraId="5F0D207B" w14:textId="7A6F4C2B" w:rsidR="009955F0" w:rsidRPr="00E349B4" w:rsidRDefault="009955F0" w:rsidP="009955F0">
            <w:pPr>
              <w:pStyle w:val="Table"/>
            </w:pPr>
            <w:r w:rsidRPr="00E349B4">
              <w:t>Governor</w:t>
            </w:r>
          </w:p>
        </w:tc>
      </w:tr>
    </w:tbl>
    <w:p w14:paraId="0071B7A5" w14:textId="0C4B5F42" w:rsidR="00DE4DA3" w:rsidRDefault="00DE4DA3" w:rsidP="00DE4DA3">
      <w:pPr>
        <w:pStyle w:val="Heading1"/>
        <w:ind w:left="709" w:hanging="709"/>
      </w:pPr>
      <w:bookmarkStart w:id="11" w:name="_Toc208941437"/>
      <w:r w:rsidRPr="00DE4DA3">
        <w:lastRenderedPageBreak/>
        <w:t>Economic and Fiscal Update</w:t>
      </w:r>
      <w:bookmarkEnd w:id="11"/>
    </w:p>
    <w:p w14:paraId="42921F3F" w14:textId="6D9090A4" w:rsidR="00DE4DA3" w:rsidRDefault="00DE4DA3" w:rsidP="00DE4DA3">
      <w:pPr>
        <w:pStyle w:val="Heading2"/>
        <w:ind w:left="709" w:hanging="709"/>
      </w:pPr>
      <w:bookmarkStart w:id="12" w:name="_Toc208941438"/>
      <w:r w:rsidRPr="00DE4DA3">
        <w:t>Economic Overview</w:t>
      </w:r>
      <w:bookmarkEnd w:id="12"/>
    </w:p>
    <w:p w14:paraId="5E09CAD4" w14:textId="10256083" w:rsidR="00DE4DA3" w:rsidRDefault="00093FDF" w:rsidP="00093FDF">
      <w:pPr>
        <w:pStyle w:val="Heading3"/>
        <w:ind w:left="709" w:hanging="709"/>
      </w:pPr>
      <w:bookmarkStart w:id="13" w:name="_Toc208941439"/>
      <w:r w:rsidRPr="00093FDF">
        <w:t>Global Economy</w:t>
      </w:r>
      <w:bookmarkEnd w:id="13"/>
    </w:p>
    <w:p w14:paraId="2DFF5B2C" w14:textId="108DFFB9" w:rsidR="002C0541" w:rsidRDefault="002C0541" w:rsidP="002C0541">
      <w:pPr>
        <w:pStyle w:val="NumberedParagraph"/>
      </w:pPr>
      <w:r>
        <w:t>The International M</w:t>
      </w:r>
      <w:r w:rsidR="00795C2A">
        <w:t>onetary Fund’s (IMF’s) July 2026</w:t>
      </w:r>
      <w:r>
        <w:t xml:space="preserve"> World Economic Outlook (WEO) Update projects global</w:t>
      </w:r>
      <w:r w:rsidR="00795C2A">
        <w:t xml:space="preserve"> growth at 3.0 per cent for 2026 and 3.4 per cent in 2027</w:t>
      </w:r>
      <w:r>
        <w:t xml:space="preserve">. </w:t>
      </w:r>
      <w:r w:rsidR="00DD2BBC" w:rsidRPr="00016499">
        <w:rPr>
          <w:rFonts w:eastAsia="Times New Roman" w:cstheme="minorHAnsi"/>
        </w:rPr>
        <w:t xml:space="preserve">While the OECD's September 2026 outlook projects </w:t>
      </w:r>
      <w:r w:rsidR="00DD2BBC" w:rsidRPr="005001FA">
        <w:rPr>
          <w:rFonts w:eastAsia="Times New Roman" w:cstheme="minorHAnsi"/>
          <w:b/>
          <w:bCs/>
        </w:rPr>
        <w:t>2.9% and 3.0%</w:t>
      </w:r>
      <w:r w:rsidR="00DD2BBC" w:rsidRPr="00016499">
        <w:rPr>
          <w:rFonts w:eastAsia="Times New Roman" w:cstheme="minorHAnsi"/>
        </w:rPr>
        <w:t>, respectively.</w:t>
      </w:r>
      <w:r w:rsidR="00DD2BBC">
        <w:t xml:space="preserve"> </w:t>
      </w:r>
      <w:r w:rsidR="00DD2BBC" w:rsidRPr="00016499">
        <w:rPr>
          <w:rFonts w:eastAsia="Times New Roman" w:cstheme="minorHAnsi"/>
        </w:rPr>
        <w:t xml:space="preserve">The World Bank's June assessment is more cautious, projecting </w:t>
      </w:r>
      <w:r w:rsidR="00DD2BBC" w:rsidRPr="005001FA">
        <w:rPr>
          <w:rFonts w:eastAsia="Times New Roman" w:cstheme="minorHAnsi"/>
          <w:b/>
          <w:bCs/>
        </w:rPr>
        <w:t>2.5% growth in 2026</w:t>
      </w:r>
      <w:r w:rsidR="00DD2BBC" w:rsidRPr="00016499">
        <w:rPr>
          <w:rFonts w:eastAsia="Times New Roman" w:cstheme="minorHAnsi"/>
        </w:rPr>
        <w:t>, reflecting the effects of the Middle East conflict and higher energy prices</w:t>
      </w:r>
      <w:r w:rsidR="00DD2BBC">
        <w:rPr>
          <w:rFonts w:eastAsia="Times New Roman" w:cstheme="minorHAnsi"/>
        </w:rPr>
        <w:t>.</w:t>
      </w:r>
    </w:p>
    <w:p w14:paraId="0015A9A3" w14:textId="77777777" w:rsidR="00DD2BBC" w:rsidRDefault="00DD2BBC" w:rsidP="00DD2BBC">
      <w:pPr>
        <w:pStyle w:val="NumberedParagraph"/>
        <w:numPr>
          <w:ilvl w:val="0"/>
          <w:numId w:val="0"/>
        </w:numPr>
        <w:ind w:left="567"/>
      </w:pPr>
    </w:p>
    <w:p w14:paraId="38597104" w14:textId="6B287C2B" w:rsidR="002C0541" w:rsidRDefault="002C0541" w:rsidP="00EE0FE1">
      <w:pPr>
        <w:pStyle w:val="NumberedParagraph"/>
      </w:pPr>
      <w:r>
        <w:t>Global headli</w:t>
      </w:r>
      <w:r w:rsidR="007A37B6">
        <w:t>ne inflation is expected to rise.</w:t>
      </w:r>
      <w:r>
        <w:t xml:space="preserve"> </w:t>
      </w:r>
      <w:r w:rsidR="007A37B6" w:rsidRPr="007A37B6">
        <w:t>The IMF projects global headline inflation to rise from 4.1% in 2025 to 4.7% in 2026, before declining to 3.9% in 2027. The OECD similarly expects G20 inflation to reach approximately 4.1% in 2026, before easing to 3.6% in 2027</w:t>
      </w:r>
      <w:r w:rsidR="00EE0FE1">
        <w:t xml:space="preserve">. </w:t>
      </w:r>
      <w:r w:rsidR="00EE0FE1" w:rsidRPr="00EE0FE1">
        <w:t>This creates a difficult policy environment for central banks: reducing interest rates too quickly could prolong inflation, while keeping rates high for too long could weaken investment, consumption and employment</w:t>
      </w:r>
      <w:r w:rsidR="00EE0FE1">
        <w:t>.</w:t>
      </w:r>
    </w:p>
    <w:p w14:paraId="608B3614" w14:textId="16C0F025" w:rsidR="000C5312" w:rsidRPr="000C5312" w:rsidRDefault="000C5312" w:rsidP="000C5312">
      <w:pPr>
        <w:pStyle w:val="NumberedParagraph"/>
      </w:pPr>
      <w:r w:rsidRPr="000C5312">
        <w:rPr>
          <w:rFonts w:eastAsia="Times New Roman" w:cstheme="minorHAnsi"/>
        </w:rPr>
        <w:t xml:space="preserve">The </w:t>
      </w:r>
      <w:r w:rsidRPr="000C5312">
        <w:rPr>
          <w:rFonts w:eastAsia="Times New Roman" w:cstheme="minorHAnsi"/>
          <w:b/>
          <w:bCs/>
        </w:rPr>
        <w:t>Middle East conflict and its implications for energy markets</w:t>
      </w:r>
      <w:r w:rsidRPr="000C5312">
        <w:rPr>
          <w:rFonts w:eastAsia="Times New Roman" w:cstheme="minorHAnsi"/>
        </w:rPr>
        <w:t xml:space="preserve"> have become major f</w:t>
      </w:r>
      <w:r>
        <w:rPr>
          <w:rFonts w:eastAsia="Times New Roman" w:cstheme="minorHAnsi"/>
        </w:rPr>
        <w:t xml:space="preserve">actors shaping the 2026 outlook and going into 2027 </w:t>
      </w:r>
      <w:proofErr w:type="spellStart"/>
      <w:r>
        <w:rPr>
          <w:rFonts w:eastAsia="Times New Roman" w:cstheme="minorHAnsi"/>
        </w:rPr>
        <w:t>forcast</w:t>
      </w:r>
      <w:proofErr w:type="spellEnd"/>
      <w:r>
        <w:rPr>
          <w:rFonts w:eastAsia="Times New Roman" w:cstheme="minorHAnsi"/>
        </w:rPr>
        <w:t>.</w:t>
      </w:r>
      <w:r w:rsidRPr="000C5312">
        <w:rPr>
          <w:rFonts w:eastAsia="Times New Roman" w:cstheme="minorHAnsi"/>
        </w:rPr>
        <w:t xml:space="preserve"> Higher energy prices affect the global economy through:</w:t>
      </w:r>
    </w:p>
    <w:p w14:paraId="57A687AA" w14:textId="77777777" w:rsidR="000C5312" w:rsidRPr="00016499" w:rsidRDefault="000C5312" w:rsidP="00FF0260">
      <w:pPr>
        <w:numPr>
          <w:ilvl w:val="0"/>
          <w:numId w:val="25"/>
        </w:numPr>
        <w:spacing w:before="100" w:beforeAutospacing="1" w:after="100" w:afterAutospacing="1"/>
        <w:jc w:val="left"/>
        <w:rPr>
          <w:rFonts w:eastAsia="Times New Roman" w:cstheme="minorHAnsi"/>
        </w:rPr>
      </w:pPr>
      <w:r w:rsidRPr="00016499">
        <w:rPr>
          <w:rFonts w:eastAsia="Times New Roman" w:cstheme="minorHAnsi"/>
        </w:rPr>
        <w:t>higher transportation and production costs;</w:t>
      </w:r>
    </w:p>
    <w:p w14:paraId="2AAF5BE7" w14:textId="77777777" w:rsidR="000C5312" w:rsidRPr="00016499" w:rsidRDefault="000C5312" w:rsidP="00FF0260">
      <w:pPr>
        <w:numPr>
          <w:ilvl w:val="0"/>
          <w:numId w:val="25"/>
        </w:numPr>
        <w:spacing w:before="100" w:beforeAutospacing="1" w:after="100" w:afterAutospacing="1"/>
        <w:jc w:val="left"/>
        <w:rPr>
          <w:rFonts w:eastAsia="Times New Roman" w:cstheme="minorHAnsi"/>
        </w:rPr>
      </w:pPr>
      <w:r w:rsidRPr="00016499">
        <w:rPr>
          <w:rFonts w:eastAsia="Times New Roman" w:cstheme="minorHAnsi"/>
        </w:rPr>
        <w:t>increased food and agricultural-input prices;</w:t>
      </w:r>
    </w:p>
    <w:p w14:paraId="246569E9" w14:textId="77777777" w:rsidR="000C5312" w:rsidRPr="00016499" w:rsidRDefault="000C5312" w:rsidP="00FF0260">
      <w:pPr>
        <w:numPr>
          <w:ilvl w:val="0"/>
          <w:numId w:val="25"/>
        </w:numPr>
        <w:spacing w:before="100" w:beforeAutospacing="1" w:after="100" w:afterAutospacing="1"/>
        <w:jc w:val="left"/>
        <w:rPr>
          <w:rFonts w:eastAsia="Times New Roman" w:cstheme="minorHAnsi"/>
        </w:rPr>
      </w:pPr>
      <w:r w:rsidRPr="00016499">
        <w:rPr>
          <w:rFonts w:eastAsia="Times New Roman" w:cstheme="minorHAnsi"/>
        </w:rPr>
        <w:t>renewed inflation;</w:t>
      </w:r>
    </w:p>
    <w:p w14:paraId="619CE3F0" w14:textId="77777777" w:rsidR="000C5312" w:rsidRPr="00016499" w:rsidRDefault="000C5312" w:rsidP="00FF0260">
      <w:pPr>
        <w:numPr>
          <w:ilvl w:val="0"/>
          <w:numId w:val="25"/>
        </w:numPr>
        <w:spacing w:before="100" w:beforeAutospacing="1" w:after="100" w:afterAutospacing="1"/>
        <w:jc w:val="left"/>
        <w:rPr>
          <w:rFonts w:eastAsia="Times New Roman" w:cstheme="minorHAnsi"/>
        </w:rPr>
      </w:pPr>
      <w:r w:rsidRPr="00016499">
        <w:rPr>
          <w:rFonts w:eastAsia="Times New Roman" w:cstheme="minorHAnsi"/>
        </w:rPr>
        <w:t>pressure on household purchasing power;</w:t>
      </w:r>
    </w:p>
    <w:p w14:paraId="5AE1554A" w14:textId="77777777" w:rsidR="000C5312" w:rsidRPr="00016499" w:rsidRDefault="000C5312" w:rsidP="00FF0260">
      <w:pPr>
        <w:numPr>
          <w:ilvl w:val="0"/>
          <w:numId w:val="25"/>
        </w:numPr>
        <w:spacing w:before="100" w:beforeAutospacing="1" w:after="100" w:afterAutospacing="1"/>
        <w:jc w:val="left"/>
        <w:rPr>
          <w:rFonts w:eastAsia="Times New Roman" w:cstheme="minorHAnsi"/>
        </w:rPr>
      </w:pPr>
      <w:r w:rsidRPr="00016499">
        <w:rPr>
          <w:rFonts w:eastAsia="Times New Roman" w:cstheme="minorHAnsi"/>
        </w:rPr>
        <w:t>higher interest rates;</w:t>
      </w:r>
    </w:p>
    <w:p w14:paraId="1191CF54" w14:textId="77777777" w:rsidR="000C5312" w:rsidRPr="00016499" w:rsidRDefault="000C5312" w:rsidP="00FF0260">
      <w:pPr>
        <w:numPr>
          <w:ilvl w:val="0"/>
          <w:numId w:val="25"/>
        </w:numPr>
        <w:spacing w:before="100" w:beforeAutospacing="1" w:after="100" w:afterAutospacing="1"/>
        <w:jc w:val="left"/>
        <w:rPr>
          <w:rFonts w:eastAsia="Times New Roman" w:cstheme="minorHAnsi"/>
        </w:rPr>
      </w:pPr>
      <w:r w:rsidRPr="00016499">
        <w:rPr>
          <w:rFonts w:eastAsia="Times New Roman" w:cstheme="minorHAnsi"/>
        </w:rPr>
        <w:t>increased government expenditure; and</w:t>
      </w:r>
    </w:p>
    <w:p w14:paraId="5A516B9C" w14:textId="21CB7C05" w:rsidR="002C0541" w:rsidRDefault="000C5312" w:rsidP="000C5312">
      <w:pPr>
        <w:pStyle w:val="NumberedParagraph"/>
      </w:pPr>
      <w:r w:rsidRPr="00016499">
        <w:rPr>
          <w:rFonts w:eastAsia="Times New Roman" w:cstheme="minorHAnsi"/>
        </w:rPr>
        <w:t>deterioration in the trade balances of energy-importing countries</w:t>
      </w:r>
    </w:p>
    <w:p w14:paraId="4DF3102A" w14:textId="0FAA19A4" w:rsidR="00B759E2" w:rsidRPr="00016499" w:rsidRDefault="00B759E2" w:rsidP="00B759E2">
      <w:pPr>
        <w:spacing w:before="100" w:beforeAutospacing="1" w:after="100" w:afterAutospacing="1"/>
        <w:ind w:left="567" w:hanging="567"/>
        <w:rPr>
          <w:rFonts w:eastAsia="Times New Roman" w:cstheme="minorHAnsi"/>
        </w:rPr>
      </w:pPr>
      <w:r>
        <w:rPr>
          <w:rFonts w:eastAsia="Times New Roman" w:cstheme="minorHAnsi"/>
        </w:rPr>
        <w:t>32</w:t>
      </w:r>
      <w:r>
        <w:rPr>
          <w:rFonts w:eastAsia="Times New Roman" w:cstheme="minorHAnsi"/>
        </w:rPr>
        <w:tab/>
      </w:r>
      <w:r w:rsidRPr="00016499">
        <w:rPr>
          <w:rFonts w:eastAsia="Times New Roman" w:cstheme="minorHAnsi"/>
        </w:rPr>
        <w:t xml:space="preserve">One of the strongest positive forces in the 2026 global economy is </w:t>
      </w:r>
      <w:r w:rsidRPr="00F374D9">
        <w:rPr>
          <w:rFonts w:eastAsia="Times New Roman" w:cstheme="minorHAnsi"/>
          <w:b/>
          <w:bCs/>
        </w:rPr>
        <w:t>investment in artificial intelligence and related technologies</w:t>
      </w:r>
      <w:r w:rsidRPr="00016499">
        <w:rPr>
          <w:rFonts w:eastAsia="Times New Roman" w:cstheme="minorHAnsi"/>
        </w:rPr>
        <w:t>.</w:t>
      </w:r>
      <w:r>
        <w:rPr>
          <w:rFonts w:eastAsia="Times New Roman" w:cstheme="minorHAnsi"/>
        </w:rPr>
        <w:t xml:space="preserve"> </w:t>
      </w:r>
      <w:r w:rsidRPr="00016499">
        <w:rPr>
          <w:rFonts w:eastAsia="Times New Roman" w:cstheme="minorHAnsi"/>
        </w:rPr>
        <w:t>AI investment is supporting:</w:t>
      </w:r>
    </w:p>
    <w:p w14:paraId="00C0049D" w14:textId="77777777" w:rsidR="00B759E2" w:rsidRPr="00016499" w:rsidRDefault="00B759E2" w:rsidP="00FF0260">
      <w:pPr>
        <w:numPr>
          <w:ilvl w:val="0"/>
          <w:numId w:val="26"/>
        </w:numPr>
        <w:spacing w:before="100" w:beforeAutospacing="1" w:after="100" w:afterAutospacing="1"/>
        <w:jc w:val="left"/>
        <w:rPr>
          <w:rFonts w:eastAsia="Times New Roman" w:cstheme="minorHAnsi"/>
        </w:rPr>
      </w:pPr>
      <w:r w:rsidRPr="00016499">
        <w:rPr>
          <w:rFonts w:eastAsia="Times New Roman" w:cstheme="minorHAnsi"/>
        </w:rPr>
        <w:t>semiconductor production;</w:t>
      </w:r>
    </w:p>
    <w:p w14:paraId="617DADFC" w14:textId="77777777" w:rsidR="00B759E2" w:rsidRPr="00016499" w:rsidRDefault="00B759E2" w:rsidP="00FF0260">
      <w:pPr>
        <w:numPr>
          <w:ilvl w:val="0"/>
          <w:numId w:val="26"/>
        </w:numPr>
        <w:spacing w:before="100" w:beforeAutospacing="1" w:after="100" w:afterAutospacing="1"/>
        <w:jc w:val="left"/>
        <w:rPr>
          <w:rFonts w:eastAsia="Times New Roman" w:cstheme="minorHAnsi"/>
        </w:rPr>
      </w:pPr>
      <w:r w:rsidRPr="00016499">
        <w:rPr>
          <w:rFonts w:eastAsia="Times New Roman" w:cstheme="minorHAnsi"/>
        </w:rPr>
        <w:t>cloud computing;</w:t>
      </w:r>
    </w:p>
    <w:p w14:paraId="2D888A2B" w14:textId="77777777" w:rsidR="00B759E2" w:rsidRPr="00016499" w:rsidRDefault="00B759E2" w:rsidP="00FF0260">
      <w:pPr>
        <w:numPr>
          <w:ilvl w:val="0"/>
          <w:numId w:val="26"/>
        </w:numPr>
        <w:spacing w:before="100" w:beforeAutospacing="1" w:after="100" w:afterAutospacing="1"/>
        <w:jc w:val="left"/>
        <w:rPr>
          <w:rFonts w:eastAsia="Times New Roman" w:cstheme="minorHAnsi"/>
        </w:rPr>
      </w:pPr>
      <w:r w:rsidRPr="00016499">
        <w:rPr>
          <w:rFonts w:eastAsia="Times New Roman" w:cstheme="minorHAnsi"/>
        </w:rPr>
        <w:t>data centres;</w:t>
      </w:r>
    </w:p>
    <w:p w14:paraId="6A296EF5" w14:textId="77777777" w:rsidR="00B759E2" w:rsidRPr="00016499" w:rsidRDefault="00B759E2" w:rsidP="00FF0260">
      <w:pPr>
        <w:numPr>
          <w:ilvl w:val="0"/>
          <w:numId w:val="26"/>
        </w:numPr>
        <w:spacing w:before="100" w:beforeAutospacing="1" w:after="100" w:afterAutospacing="1"/>
        <w:jc w:val="left"/>
        <w:rPr>
          <w:rFonts w:eastAsia="Times New Roman" w:cstheme="minorHAnsi"/>
        </w:rPr>
      </w:pPr>
      <w:r w:rsidRPr="00016499">
        <w:rPr>
          <w:rFonts w:eastAsia="Times New Roman" w:cstheme="minorHAnsi"/>
        </w:rPr>
        <w:t>telecommunications;</w:t>
      </w:r>
    </w:p>
    <w:p w14:paraId="529296F4" w14:textId="77777777" w:rsidR="00B759E2" w:rsidRPr="00016499" w:rsidRDefault="00B759E2" w:rsidP="00FF0260">
      <w:pPr>
        <w:numPr>
          <w:ilvl w:val="0"/>
          <w:numId w:val="26"/>
        </w:numPr>
        <w:spacing w:before="100" w:beforeAutospacing="1" w:after="100" w:afterAutospacing="1"/>
        <w:jc w:val="left"/>
        <w:rPr>
          <w:rFonts w:eastAsia="Times New Roman" w:cstheme="minorHAnsi"/>
        </w:rPr>
      </w:pPr>
      <w:r w:rsidRPr="00016499">
        <w:rPr>
          <w:rFonts w:eastAsia="Times New Roman" w:cstheme="minorHAnsi"/>
        </w:rPr>
        <w:t>software;</w:t>
      </w:r>
    </w:p>
    <w:p w14:paraId="5CB5E256" w14:textId="77777777" w:rsidR="00B759E2" w:rsidRPr="00016499" w:rsidRDefault="00B759E2" w:rsidP="00FF0260">
      <w:pPr>
        <w:numPr>
          <w:ilvl w:val="0"/>
          <w:numId w:val="26"/>
        </w:numPr>
        <w:spacing w:before="100" w:beforeAutospacing="1" w:after="100" w:afterAutospacing="1"/>
        <w:jc w:val="left"/>
        <w:rPr>
          <w:rFonts w:eastAsia="Times New Roman" w:cstheme="minorHAnsi"/>
        </w:rPr>
      </w:pPr>
      <w:r w:rsidRPr="00016499">
        <w:rPr>
          <w:rFonts w:eastAsia="Times New Roman" w:cstheme="minorHAnsi"/>
        </w:rPr>
        <w:t>digital services;</w:t>
      </w:r>
    </w:p>
    <w:p w14:paraId="48B8D2F6" w14:textId="77777777" w:rsidR="00B759E2" w:rsidRPr="00016499" w:rsidRDefault="00B759E2" w:rsidP="00FF0260">
      <w:pPr>
        <w:numPr>
          <w:ilvl w:val="0"/>
          <w:numId w:val="26"/>
        </w:numPr>
        <w:spacing w:before="100" w:beforeAutospacing="1" w:after="100" w:afterAutospacing="1"/>
        <w:jc w:val="left"/>
        <w:rPr>
          <w:rFonts w:eastAsia="Times New Roman" w:cstheme="minorHAnsi"/>
        </w:rPr>
      </w:pPr>
      <w:r w:rsidRPr="00016499">
        <w:rPr>
          <w:rFonts w:eastAsia="Times New Roman" w:cstheme="minorHAnsi"/>
        </w:rPr>
        <w:t>productivity-enhancing investment; and</w:t>
      </w:r>
    </w:p>
    <w:p w14:paraId="009A329E" w14:textId="40C66DB4" w:rsidR="002C0541" w:rsidRDefault="00B759E2" w:rsidP="00FF0260">
      <w:pPr>
        <w:numPr>
          <w:ilvl w:val="0"/>
          <w:numId w:val="26"/>
        </w:numPr>
        <w:spacing w:before="100" w:beforeAutospacing="1" w:after="100" w:afterAutospacing="1"/>
        <w:jc w:val="left"/>
        <w:rPr>
          <w:rFonts w:eastAsia="Times New Roman" w:cstheme="minorHAnsi"/>
        </w:rPr>
      </w:pPr>
      <w:proofErr w:type="gramStart"/>
      <w:r w:rsidRPr="00016499">
        <w:rPr>
          <w:rFonts w:eastAsia="Times New Roman" w:cstheme="minorHAnsi"/>
        </w:rPr>
        <w:t>international</w:t>
      </w:r>
      <w:proofErr w:type="gramEnd"/>
      <w:r w:rsidRPr="00016499">
        <w:rPr>
          <w:rFonts w:eastAsia="Times New Roman" w:cstheme="minorHAnsi"/>
        </w:rPr>
        <w:t xml:space="preserve"> trade.</w:t>
      </w:r>
    </w:p>
    <w:p w14:paraId="176B711A" w14:textId="1C039039" w:rsidR="00B759E2" w:rsidRPr="00B759E2" w:rsidRDefault="00B759E2" w:rsidP="00B759E2">
      <w:pPr>
        <w:spacing w:before="100" w:beforeAutospacing="1" w:after="100" w:afterAutospacing="1"/>
        <w:ind w:left="360"/>
        <w:rPr>
          <w:rFonts w:eastAsia="Times New Roman" w:cstheme="minorHAnsi"/>
        </w:rPr>
      </w:pPr>
      <w:r w:rsidRPr="00016499">
        <w:rPr>
          <w:rFonts w:eastAsia="Times New Roman" w:cstheme="minorHAnsi"/>
        </w:rPr>
        <w:t>The IMF specifically identifies AI-driven demand as an important factor supporting economies integrated into global technology value chains. The OECD likewise reports that strong AI-related investment is helping sustain production, trade and economic growth</w:t>
      </w:r>
    </w:p>
    <w:p w14:paraId="2E32D86C" w14:textId="04B909F6" w:rsidR="001C6D9B" w:rsidRPr="00016499" w:rsidRDefault="001C6D9B" w:rsidP="001C6D9B">
      <w:pPr>
        <w:spacing w:before="100" w:beforeAutospacing="1" w:after="100" w:afterAutospacing="1"/>
        <w:ind w:left="360" w:hanging="360"/>
        <w:rPr>
          <w:rFonts w:eastAsia="Times New Roman" w:cstheme="minorHAnsi"/>
        </w:rPr>
      </w:pPr>
      <w:r>
        <w:rPr>
          <w:rFonts w:eastAsia="Times New Roman" w:cstheme="minorHAnsi"/>
        </w:rPr>
        <w:t>33.</w:t>
      </w:r>
      <w:r>
        <w:rPr>
          <w:rFonts w:eastAsia="Times New Roman" w:cstheme="minorHAnsi"/>
        </w:rPr>
        <w:tab/>
      </w:r>
      <w:r w:rsidRPr="00016499">
        <w:rPr>
          <w:rFonts w:eastAsia="Times New Roman" w:cstheme="minorHAnsi"/>
        </w:rPr>
        <w:t>International trade remains affected by geopolitical tensions, trade-policy uncertainty and supply-chain adjustments.</w:t>
      </w:r>
    </w:p>
    <w:p w14:paraId="6FA57F33" w14:textId="77777777" w:rsidR="001C6D9B" w:rsidRPr="00016499" w:rsidRDefault="001C6D9B" w:rsidP="001C6D9B">
      <w:pPr>
        <w:spacing w:before="100" w:beforeAutospacing="1" w:after="100" w:afterAutospacing="1"/>
        <w:ind w:firstLine="360"/>
        <w:rPr>
          <w:rFonts w:eastAsia="Times New Roman" w:cstheme="minorHAnsi"/>
        </w:rPr>
      </w:pPr>
      <w:r w:rsidRPr="00016499">
        <w:rPr>
          <w:rFonts w:eastAsia="Times New Roman" w:cstheme="minorHAnsi"/>
        </w:rPr>
        <w:t>Countries and businesses are increasingly seeking to:</w:t>
      </w:r>
    </w:p>
    <w:p w14:paraId="3B0DAACF" w14:textId="77777777" w:rsidR="001C6D9B" w:rsidRPr="00016499" w:rsidRDefault="001C6D9B" w:rsidP="00FF0260">
      <w:pPr>
        <w:numPr>
          <w:ilvl w:val="0"/>
          <w:numId w:val="27"/>
        </w:numPr>
        <w:spacing w:before="100" w:beforeAutospacing="1" w:after="100" w:afterAutospacing="1"/>
        <w:jc w:val="left"/>
        <w:rPr>
          <w:rFonts w:eastAsia="Times New Roman" w:cstheme="minorHAnsi"/>
        </w:rPr>
      </w:pPr>
      <w:r w:rsidRPr="00016499">
        <w:rPr>
          <w:rFonts w:eastAsia="Times New Roman" w:cstheme="minorHAnsi"/>
        </w:rPr>
        <w:t>diversify suppliers;</w:t>
      </w:r>
    </w:p>
    <w:p w14:paraId="165E949A" w14:textId="77777777" w:rsidR="001C6D9B" w:rsidRPr="00016499" w:rsidRDefault="001C6D9B" w:rsidP="00FF0260">
      <w:pPr>
        <w:numPr>
          <w:ilvl w:val="0"/>
          <w:numId w:val="27"/>
        </w:numPr>
        <w:spacing w:before="100" w:beforeAutospacing="1" w:after="100" w:afterAutospacing="1"/>
        <w:jc w:val="left"/>
        <w:rPr>
          <w:rFonts w:eastAsia="Times New Roman" w:cstheme="minorHAnsi"/>
        </w:rPr>
      </w:pPr>
      <w:r w:rsidRPr="00016499">
        <w:rPr>
          <w:rFonts w:eastAsia="Times New Roman" w:cstheme="minorHAnsi"/>
        </w:rPr>
        <w:lastRenderedPageBreak/>
        <w:t>shorten supply chains;</w:t>
      </w:r>
    </w:p>
    <w:p w14:paraId="4577A3C6" w14:textId="77777777" w:rsidR="001C6D9B" w:rsidRPr="00016499" w:rsidRDefault="001C6D9B" w:rsidP="00FF0260">
      <w:pPr>
        <w:numPr>
          <w:ilvl w:val="0"/>
          <w:numId w:val="27"/>
        </w:numPr>
        <w:spacing w:before="100" w:beforeAutospacing="1" w:after="100" w:afterAutospacing="1"/>
        <w:jc w:val="left"/>
        <w:rPr>
          <w:rFonts w:eastAsia="Times New Roman" w:cstheme="minorHAnsi"/>
        </w:rPr>
      </w:pPr>
      <w:r w:rsidRPr="00016499">
        <w:rPr>
          <w:rFonts w:eastAsia="Times New Roman" w:cstheme="minorHAnsi"/>
        </w:rPr>
        <w:t>establish alternative production locations;</w:t>
      </w:r>
    </w:p>
    <w:p w14:paraId="19D2B5E1" w14:textId="77777777" w:rsidR="001C6D9B" w:rsidRPr="00016499" w:rsidRDefault="001C6D9B" w:rsidP="00FF0260">
      <w:pPr>
        <w:numPr>
          <w:ilvl w:val="0"/>
          <w:numId w:val="27"/>
        </w:numPr>
        <w:spacing w:before="100" w:beforeAutospacing="1" w:after="100" w:afterAutospacing="1"/>
        <w:jc w:val="left"/>
        <w:rPr>
          <w:rFonts w:eastAsia="Times New Roman" w:cstheme="minorHAnsi"/>
        </w:rPr>
      </w:pPr>
      <w:r w:rsidRPr="00016499">
        <w:rPr>
          <w:rFonts w:eastAsia="Times New Roman" w:cstheme="minorHAnsi"/>
        </w:rPr>
        <w:t>increase strategic inventories; and</w:t>
      </w:r>
    </w:p>
    <w:p w14:paraId="43982F23" w14:textId="77777777" w:rsidR="001C6D9B" w:rsidRPr="00016499" w:rsidRDefault="001C6D9B" w:rsidP="00FF0260">
      <w:pPr>
        <w:numPr>
          <w:ilvl w:val="0"/>
          <w:numId w:val="27"/>
        </w:numPr>
        <w:spacing w:before="100" w:beforeAutospacing="1" w:after="100" w:afterAutospacing="1"/>
        <w:jc w:val="left"/>
        <w:rPr>
          <w:rFonts w:eastAsia="Times New Roman" w:cstheme="minorHAnsi"/>
        </w:rPr>
      </w:pPr>
      <w:proofErr w:type="gramStart"/>
      <w:r w:rsidRPr="00016499">
        <w:rPr>
          <w:rFonts w:eastAsia="Times New Roman" w:cstheme="minorHAnsi"/>
        </w:rPr>
        <w:t>reduce</w:t>
      </w:r>
      <w:proofErr w:type="gramEnd"/>
      <w:r w:rsidRPr="00016499">
        <w:rPr>
          <w:rFonts w:eastAsia="Times New Roman" w:cstheme="minorHAnsi"/>
        </w:rPr>
        <w:t xml:space="preserve"> exposure to geopolitical disruptions.</w:t>
      </w:r>
    </w:p>
    <w:p w14:paraId="7BF10AE7" w14:textId="2527C27D" w:rsidR="00C66669" w:rsidRDefault="00C66669" w:rsidP="002C0541">
      <w:pPr>
        <w:pStyle w:val="NumberedParagraph"/>
      </w:pPr>
      <w:r>
        <w:t xml:space="preserve">With these forces in place, the global economy has continued to hold steady, although the composition of economic activity points to distortions arising from tariffs rather than underlying economic robustness. Global growth in the first quarter of 2026 was </w:t>
      </w:r>
      <w:r>
        <w:rPr>
          <w:rStyle w:val="Strong"/>
        </w:rPr>
        <w:t xml:space="preserve">0.2% </w:t>
      </w:r>
      <w:r>
        <w:t>in the July World Economic Outlook (WEO). International trade and investment were the main drivers of activity, while private consumption remained more subdued across major economies</w:t>
      </w:r>
    </w:p>
    <w:p w14:paraId="6C501548" w14:textId="7B026F65" w:rsidR="00601F9E" w:rsidRPr="00601F9E" w:rsidRDefault="002C0541" w:rsidP="00601F9E">
      <w:pPr>
        <w:pStyle w:val="NumberedParagraph"/>
        <w:rPr>
          <w:lang w:val="en-US"/>
        </w:rPr>
      </w:pPr>
      <w:r>
        <w:t>Real GDP</w:t>
      </w:r>
      <w:r w:rsidR="00601F9E">
        <w:t xml:space="preserve"> decreased in the United States</w:t>
      </w:r>
      <w:r>
        <w:t>.</w:t>
      </w:r>
      <w:r w:rsidR="00601F9E" w:rsidRPr="00601F9E">
        <w:rPr>
          <w:rFonts w:eastAsiaTheme="minorHAnsi"/>
          <w:lang w:val="en-US" w:eastAsia="en-US"/>
        </w:rPr>
        <w:t xml:space="preserve"> </w:t>
      </w:r>
      <w:r w:rsidR="00601F9E" w:rsidRPr="00601F9E">
        <w:rPr>
          <w:lang w:val="en-US"/>
        </w:rPr>
        <w:t xml:space="preserve">Recent activity has been relatively firm. The U.S. Bureau of Economic Analysis reported that </w:t>
      </w:r>
      <w:r w:rsidR="00601F9E" w:rsidRPr="00601F9E">
        <w:rPr>
          <w:bCs/>
          <w:lang w:val="en-US"/>
        </w:rPr>
        <w:t>real GDP increased at a 2.2% annualized rate in Q2 2026</w:t>
      </w:r>
      <w:r w:rsidR="00601F9E" w:rsidRPr="00601F9E">
        <w:rPr>
          <w:lang w:val="en-US"/>
        </w:rPr>
        <w:t>.</w:t>
      </w:r>
    </w:p>
    <w:p w14:paraId="56B29E36" w14:textId="3ED3E8E7" w:rsidR="002C0541" w:rsidRDefault="002C0541" w:rsidP="002C0541">
      <w:pPr>
        <w:pStyle w:val="NumberedParagraph"/>
      </w:pPr>
      <w:r>
        <w:t xml:space="preserve"> Imports and business investment surged—especially in information processing equipment. Taken together, these patterns were consistent with aggressive front-loading by US firms and households ahead of expected higher prices induced by tariffs. </w:t>
      </w:r>
    </w:p>
    <w:p w14:paraId="55AA44F1" w14:textId="77777777" w:rsidR="00601F9E" w:rsidRPr="00601F9E" w:rsidRDefault="002C0541" w:rsidP="00601F9E">
      <w:pPr>
        <w:pStyle w:val="NumberedParagraph"/>
        <w:rPr>
          <w:lang w:val="en-US"/>
        </w:rPr>
      </w:pPr>
      <w:r>
        <w:t xml:space="preserve">. </w:t>
      </w:r>
      <w:r w:rsidR="00601F9E" w:rsidRPr="00601F9E">
        <w:rPr>
          <w:lang w:val="en-US"/>
        </w:rPr>
        <w:t xml:space="preserve">In the euro area, GDP expanded by </w:t>
      </w:r>
      <w:r w:rsidR="00601F9E" w:rsidRPr="00601F9E">
        <w:rPr>
          <w:b/>
          <w:bCs/>
          <w:lang w:val="en-US"/>
        </w:rPr>
        <w:t>0.6 per cent quarter-on-quarter in the second quarter of 2026</w:t>
      </w:r>
      <w:r w:rsidR="00601F9E" w:rsidRPr="00601F9E">
        <w:rPr>
          <w:lang w:val="en-US"/>
        </w:rPr>
        <w:t xml:space="preserve">, following stagnation in the first quarter. Growth was supported particularly by </w:t>
      </w:r>
      <w:r w:rsidR="00601F9E" w:rsidRPr="00601F9E">
        <w:rPr>
          <w:b/>
          <w:bCs/>
          <w:lang w:val="en-US"/>
        </w:rPr>
        <w:t>net exports and household consumption</w:t>
      </w:r>
      <w:r w:rsidR="00601F9E" w:rsidRPr="00601F9E">
        <w:rPr>
          <w:lang w:val="en-US"/>
        </w:rPr>
        <w:t xml:space="preserve">, while investment made a more limited contribution. Ireland continued to generate substantial volatility in the regional data, with GDP rebounding by </w:t>
      </w:r>
      <w:r w:rsidR="00601F9E" w:rsidRPr="00601F9E">
        <w:rPr>
          <w:b/>
          <w:bCs/>
          <w:lang w:val="en-US"/>
        </w:rPr>
        <w:t>10.2 per cent quarter-on-quarter</w:t>
      </w:r>
      <w:r w:rsidR="00601F9E" w:rsidRPr="00601F9E">
        <w:rPr>
          <w:lang w:val="en-US"/>
        </w:rPr>
        <w:t xml:space="preserve"> in the second quarter after a 7.8 per cent contraction in the first quarter. Excluding Ireland's highly volatile multinational sector, underlying domestic activity remained considerably more moderate.</w:t>
      </w:r>
    </w:p>
    <w:p w14:paraId="1D6C58CF" w14:textId="4CEAA44A" w:rsidR="002C0541" w:rsidRDefault="0051735E" w:rsidP="0051735E">
      <w:pPr>
        <w:pStyle w:val="NumberedParagraph"/>
      </w:pPr>
      <w:r w:rsidRPr="0051735E">
        <w:t xml:space="preserve">China's real GDP grew by 4.3 per cent year-on-year in the second quarter of 2026, slowing from 5.0 per cent in the first quarter. Activity continued to be supported by strong exports, particularly in high-technology goods, while domestic demand remained comparatively weak. The IMF has noted that real depreciation of the </w:t>
      </w:r>
      <w:proofErr w:type="spellStart"/>
      <w:r w:rsidRPr="0051735E">
        <w:t>renminbi</w:t>
      </w:r>
      <w:proofErr w:type="spellEnd"/>
      <w:r w:rsidRPr="0051735E">
        <w:t xml:space="preserve"> has supported export competitiveness, while strong net exports have partly offset softer domestic demand. Fiscal and other policy measures have continued to support consumption and investment, although the IMF projects China's full-year real GDP growth at around 4.5 per cent in 2026.</w:t>
      </w:r>
    </w:p>
    <w:p w14:paraId="080A3591" w14:textId="77777777" w:rsidR="00860B6D" w:rsidRDefault="00860B6D" w:rsidP="00860B6D">
      <w:pPr>
        <w:pStyle w:val="NumberedParagraph"/>
      </w:pPr>
      <w:r>
        <w:t>Economic policy and geopolitical uncertainty are expected to remain elevated through 2026 and into 2027. The global economic outlook has been significantly influenced by the conflict in the Middle East, disruptions to energy production and transportation, and continuing trade and policy uncertainties. Energy commodity prices are expected to remain substantially above their pre-conflict levels in 2026, with the IMF projecting an average petroleum spot price of around US$89 per barrel, about 32 per cent higher than in 2025.</w:t>
      </w:r>
    </w:p>
    <w:p w14:paraId="3AB69852" w14:textId="0AB5C350" w:rsidR="00860B6D" w:rsidRDefault="00860B6D" w:rsidP="00860B6D">
      <w:pPr>
        <w:pStyle w:val="NumberedParagraph"/>
      </w:pPr>
      <w:r>
        <w:t>Oil prices rose sharply following disruptions associated with the conflict and concerns over the security of energy supplies and transportation routes, particularly through the Strait of Hormuz. Although some of the initial risk premium has subsequently eased, uncertainty remains high. At the same time, weaker global demand and adjustments in oil consumption are expected to place downward pressure on prices over the course of the outlook. The International Energy Agency projects global oil demand to decline by 2.5 million barrels per day in 2026, reflecting prolonged disruptions and weaker consumption, with demand expected to recover in 2027.</w:t>
      </w:r>
    </w:p>
    <w:p w14:paraId="5566ECDC" w14:textId="7387C5A7" w:rsidR="002C0541" w:rsidRDefault="002C0541" w:rsidP="002C0541">
      <w:pPr>
        <w:pStyle w:val="NumberedParagraph"/>
      </w:pPr>
      <w:r>
        <w:t xml:space="preserve">Prices for natural gas have remained relatively contained amid expectations of lower energy demand resulting from trade uncertainty, news of European Union plans for more flexible targets about storage filling, and the prospects of ample increases in liquid natural gas supply in the medium term. </w:t>
      </w:r>
    </w:p>
    <w:p w14:paraId="0A1765B8" w14:textId="77777777" w:rsidR="00860B6D" w:rsidRDefault="00860B6D" w:rsidP="00860B6D">
      <w:pPr>
        <w:pStyle w:val="NumberedParagraph"/>
      </w:pPr>
      <w:r>
        <w:t xml:space="preserve">Monetary policy is expected to remain differentiated across the major advanced economies in 2026, reflecting differences in inflation dynamics, economic activity and the effects of the energy shock. In the United States, the Federal Reserve is expected to maintain a relatively cautious easing cycle, with the federal funds rate projected to reach around 3¼–3½ per cent by the end of 2026. In the euro area, monetary policy is expected to remain relatively accommodative, although the ECB is projected to </w:t>
      </w:r>
      <w:r>
        <w:lastRenderedPageBreak/>
        <w:t>raise its policy rate by 25 basis points to around 2.5 per cent by the end of 2026. In Japan, monetary policy is expected to continue its gradual normalisation, while the Bank of England is expected to balance subdued economic activity against persistent inflationary pressures.</w:t>
      </w:r>
    </w:p>
    <w:p w14:paraId="562D92C2" w14:textId="3EA606E8" w:rsidR="00860B6D" w:rsidRDefault="00860B6D" w:rsidP="00860B6D">
      <w:pPr>
        <w:pStyle w:val="NumberedParagraph"/>
      </w:pPr>
      <w:r>
        <w:t>Fiscal policy is expected to provide varying degrees of support across major economies in the near term. In the United States, tax and spending measures enacted in 2025 are projected to provide a modest boost to economic activity in 2026–27, while increasing the fiscal deficit by approximately 1½ percentage points of GDP. Higher tariff revenues are expected to partly offset the deficit impact of these measures. Nevertheless, US fiscal deficits are projected to remain elevated, with the medium-term fiscal position reflecting both the persistence of higher spending and the eventual expiration of some tax provisions.</w:t>
      </w:r>
    </w:p>
    <w:p w14:paraId="65B52573" w14:textId="3E4E1FFA" w:rsidR="002C0541" w:rsidRDefault="002C0541" w:rsidP="002C0541">
      <w:pPr>
        <w:pStyle w:val="NumberedParagraph"/>
      </w:pPr>
      <w:r>
        <w:t>The economic outlook (GDP growth rate and inflation rate) of selected countries is shown in Tables 2 and 3 below.</w:t>
      </w:r>
    </w:p>
    <w:p w14:paraId="04F44B19" w14:textId="2D6C5C5A" w:rsidR="00093FDF" w:rsidRDefault="00093FDF" w:rsidP="002C0541">
      <w:pPr>
        <w:pStyle w:val="NumberedParagraph"/>
      </w:pPr>
      <w:r w:rsidRPr="00093FDF">
        <w:t>Countries selected are chosen to represent G20, BRINCS, MINT, N-11, Petro-economies and other large African countries.</w:t>
      </w:r>
    </w:p>
    <w:p w14:paraId="65506FF0" w14:textId="43819135" w:rsidR="00093FDF" w:rsidRDefault="00093FDF" w:rsidP="00093FDF">
      <w:pPr>
        <w:pStyle w:val="Caption"/>
      </w:pPr>
      <w:bookmarkStart w:id="14" w:name="_Toc208941479"/>
      <w:r>
        <w:t xml:space="preserve">Table </w:t>
      </w:r>
      <w:fldSimple w:instr=" SEQ Table \* ARABIC ">
        <w:r w:rsidR="00F60625">
          <w:rPr>
            <w:noProof/>
          </w:rPr>
          <w:t>2</w:t>
        </w:r>
      </w:fldSimple>
      <w:r>
        <w:t>:</w:t>
      </w:r>
      <w:r w:rsidRPr="00093FDF">
        <w:t xml:space="preserve"> Real GDP Growth - Selected Countries</w:t>
      </w:r>
      <w:bookmarkEnd w:id="14"/>
    </w:p>
    <w:tbl>
      <w:tblPr>
        <w:tblW w:w="4944" w:type="pct"/>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1E0" w:firstRow="1" w:lastRow="1" w:firstColumn="1" w:lastColumn="1" w:noHBand="0" w:noVBand="0"/>
      </w:tblPr>
      <w:tblGrid>
        <w:gridCol w:w="2105"/>
        <w:gridCol w:w="1057"/>
        <w:gridCol w:w="1057"/>
        <w:gridCol w:w="1059"/>
        <w:gridCol w:w="1058"/>
        <w:gridCol w:w="1058"/>
        <w:gridCol w:w="1058"/>
        <w:gridCol w:w="1058"/>
      </w:tblGrid>
      <w:tr w:rsidR="00093FDF" w:rsidRPr="00B848D1" w14:paraId="7E587D5F" w14:textId="77777777" w:rsidTr="00BF6FDD">
        <w:trPr>
          <w:cantSplit/>
          <w:tblHeader/>
        </w:trPr>
        <w:tc>
          <w:tcPr>
            <w:tcW w:w="1107" w:type="pct"/>
            <w:vMerge w:val="restart"/>
            <w:shd w:val="clear" w:color="auto" w:fill="404040" w:themeFill="text1" w:themeFillTint="BF"/>
            <w:vAlign w:val="center"/>
          </w:tcPr>
          <w:p w14:paraId="54722E0F" w14:textId="76D72464" w:rsidR="00093FDF" w:rsidRPr="00093FDF" w:rsidRDefault="00093FDF" w:rsidP="00093FDF">
            <w:pPr>
              <w:pStyle w:val="Table"/>
              <w:jc w:val="center"/>
              <w:rPr>
                <w:b/>
                <w:bCs/>
                <w:color w:val="FFFFFF" w:themeColor="background1"/>
              </w:rPr>
            </w:pPr>
            <w:r w:rsidRPr="00093FDF">
              <w:rPr>
                <w:b/>
                <w:bCs/>
                <w:color w:val="FFFFFF" w:themeColor="background1"/>
              </w:rPr>
              <w:t>Country</w:t>
            </w:r>
          </w:p>
        </w:tc>
        <w:tc>
          <w:tcPr>
            <w:tcW w:w="2225" w:type="pct"/>
            <w:gridSpan w:val="4"/>
            <w:shd w:val="clear" w:color="auto" w:fill="404040" w:themeFill="text1" w:themeFillTint="BF"/>
          </w:tcPr>
          <w:p w14:paraId="7F6D0BD9" w14:textId="04BDA9B6" w:rsidR="00093FDF" w:rsidRPr="00093FDF" w:rsidRDefault="00093FDF" w:rsidP="00093FDF">
            <w:pPr>
              <w:pStyle w:val="Table"/>
              <w:jc w:val="center"/>
              <w:rPr>
                <w:color w:val="FFFFFF" w:themeColor="background1"/>
              </w:rPr>
            </w:pPr>
            <w:r w:rsidRPr="00093FDF">
              <w:rPr>
                <w:b/>
                <w:bCs/>
                <w:color w:val="FFFFFF" w:themeColor="background1"/>
              </w:rPr>
              <w:t>Actual</w:t>
            </w:r>
            <w:r>
              <w:rPr>
                <w:rStyle w:val="FootnoteReference"/>
                <w:b/>
                <w:bCs/>
                <w:color w:val="FFFFFF" w:themeColor="background1"/>
              </w:rPr>
              <w:footnoteReference w:id="1"/>
            </w:r>
          </w:p>
        </w:tc>
        <w:tc>
          <w:tcPr>
            <w:tcW w:w="1669" w:type="pct"/>
            <w:gridSpan w:val="3"/>
            <w:shd w:val="clear" w:color="auto" w:fill="404040" w:themeFill="text1" w:themeFillTint="BF"/>
            <w:vAlign w:val="center"/>
          </w:tcPr>
          <w:p w14:paraId="1912B939" w14:textId="4B91C53C" w:rsidR="00093FDF" w:rsidRPr="00093FDF" w:rsidRDefault="00093FDF" w:rsidP="00093FDF">
            <w:pPr>
              <w:pStyle w:val="Table"/>
              <w:jc w:val="center"/>
              <w:rPr>
                <w:b/>
                <w:bCs/>
                <w:color w:val="FFFFFF" w:themeColor="background1"/>
              </w:rPr>
            </w:pPr>
            <w:r w:rsidRPr="00093FDF">
              <w:rPr>
                <w:b/>
                <w:bCs/>
                <w:color w:val="FFFFFF" w:themeColor="background1"/>
              </w:rPr>
              <w:t>Forecast</w:t>
            </w:r>
          </w:p>
        </w:tc>
      </w:tr>
      <w:tr w:rsidR="00BF6FDD" w:rsidRPr="001A434D" w14:paraId="46C9F10E" w14:textId="77777777" w:rsidTr="00BF6FDD">
        <w:trPr>
          <w:cantSplit/>
          <w:trHeight w:val="91"/>
        </w:trPr>
        <w:tc>
          <w:tcPr>
            <w:tcW w:w="1107" w:type="pct"/>
            <w:vMerge/>
            <w:shd w:val="clear" w:color="auto" w:fill="D9D9D9" w:themeFill="background1" w:themeFillShade="D9"/>
          </w:tcPr>
          <w:p w14:paraId="218F22AE" w14:textId="77777777" w:rsidR="00BF6FDD" w:rsidRPr="001A434D" w:rsidRDefault="00BF6FDD" w:rsidP="00BF6FDD">
            <w:pPr>
              <w:pStyle w:val="Table"/>
              <w:rPr>
                <w:highlight w:val="yellow"/>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bottom"/>
          </w:tcPr>
          <w:p w14:paraId="44053503" w14:textId="5E8E5B7D" w:rsidR="00BF6FDD" w:rsidRPr="00090FB2" w:rsidRDefault="00BF6FDD" w:rsidP="00BF6FDD">
            <w:pPr>
              <w:pStyle w:val="Table"/>
            </w:pPr>
            <w:r>
              <w:rPr>
                <w:rFonts w:ascii="Calibri" w:hAnsi="Calibri" w:cs="Calibri"/>
                <w:color w:val="000000"/>
              </w:rPr>
              <w:t>2023</w:t>
            </w:r>
          </w:p>
        </w:tc>
        <w:tc>
          <w:tcPr>
            <w:tcW w:w="556" w:type="pct"/>
            <w:tcBorders>
              <w:top w:val="single" w:sz="4" w:space="0" w:color="auto"/>
              <w:left w:val="nil"/>
              <w:bottom w:val="single" w:sz="4" w:space="0" w:color="auto"/>
              <w:right w:val="single" w:sz="4" w:space="0" w:color="auto"/>
            </w:tcBorders>
            <w:shd w:val="clear" w:color="auto" w:fill="auto"/>
            <w:vAlign w:val="bottom"/>
          </w:tcPr>
          <w:p w14:paraId="5AC24836" w14:textId="62CA0F99" w:rsidR="00BF6FDD" w:rsidRPr="00090FB2" w:rsidRDefault="00BF6FDD" w:rsidP="00BF6FDD">
            <w:pPr>
              <w:pStyle w:val="Table"/>
            </w:pPr>
            <w:r>
              <w:rPr>
                <w:rFonts w:ascii="Calibri" w:hAnsi="Calibri" w:cs="Calibri"/>
                <w:color w:val="000000"/>
              </w:rPr>
              <w:t>2024</w:t>
            </w:r>
          </w:p>
        </w:tc>
        <w:tc>
          <w:tcPr>
            <w:tcW w:w="557" w:type="pct"/>
            <w:tcBorders>
              <w:top w:val="single" w:sz="4" w:space="0" w:color="auto"/>
              <w:left w:val="nil"/>
              <w:bottom w:val="single" w:sz="4" w:space="0" w:color="auto"/>
              <w:right w:val="single" w:sz="4" w:space="0" w:color="auto"/>
            </w:tcBorders>
            <w:shd w:val="clear" w:color="auto" w:fill="auto"/>
            <w:vAlign w:val="bottom"/>
          </w:tcPr>
          <w:p w14:paraId="193F1F28" w14:textId="3AAEB5BC" w:rsidR="00BF6FDD" w:rsidRPr="00090FB2" w:rsidRDefault="00BF6FDD" w:rsidP="00BF6FDD">
            <w:pPr>
              <w:pStyle w:val="Table"/>
            </w:pPr>
            <w:r>
              <w:rPr>
                <w:rFonts w:ascii="Calibri" w:hAnsi="Calibri" w:cs="Calibri"/>
                <w:color w:val="000000"/>
              </w:rPr>
              <w:t>2025</w:t>
            </w:r>
          </w:p>
        </w:tc>
        <w:tc>
          <w:tcPr>
            <w:tcW w:w="556" w:type="pct"/>
            <w:tcBorders>
              <w:top w:val="single" w:sz="4" w:space="0" w:color="auto"/>
              <w:left w:val="nil"/>
              <w:bottom w:val="single" w:sz="4" w:space="0" w:color="auto"/>
              <w:right w:val="single" w:sz="4" w:space="0" w:color="auto"/>
            </w:tcBorders>
            <w:shd w:val="clear" w:color="auto" w:fill="auto"/>
            <w:vAlign w:val="bottom"/>
          </w:tcPr>
          <w:p w14:paraId="011787BE" w14:textId="2AB2CF7E" w:rsidR="00BF6FDD" w:rsidRPr="00090FB2" w:rsidRDefault="00BF6FDD" w:rsidP="00BF6FDD">
            <w:pPr>
              <w:pStyle w:val="Table"/>
            </w:pPr>
            <w:r>
              <w:rPr>
                <w:rFonts w:ascii="Calibri" w:hAnsi="Calibri" w:cs="Calibri"/>
                <w:color w:val="000000"/>
              </w:rPr>
              <w:t>2026</w:t>
            </w:r>
          </w:p>
        </w:tc>
        <w:tc>
          <w:tcPr>
            <w:tcW w:w="556" w:type="pct"/>
            <w:tcBorders>
              <w:top w:val="single" w:sz="4" w:space="0" w:color="auto"/>
              <w:left w:val="nil"/>
              <w:bottom w:val="single" w:sz="4" w:space="0" w:color="auto"/>
              <w:right w:val="single" w:sz="4" w:space="0" w:color="auto"/>
            </w:tcBorders>
            <w:shd w:val="clear" w:color="auto" w:fill="auto"/>
            <w:vAlign w:val="bottom"/>
          </w:tcPr>
          <w:p w14:paraId="0B323BF7" w14:textId="208049F1" w:rsidR="00BF6FDD" w:rsidRPr="00090FB2" w:rsidRDefault="00BF6FDD" w:rsidP="00BF6FDD">
            <w:pPr>
              <w:pStyle w:val="Table"/>
            </w:pPr>
            <w:r>
              <w:rPr>
                <w:rFonts w:ascii="Calibri" w:hAnsi="Calibri" w:cs="Calibri"/>
                <w:color w:val="000000"/>
              </w:rPr>
              <w:t>2027</w:t>
            </w:r>
          </w:p>
        </w:tc>
        <w:tc>
          <w:tcPr>
            <w:tcW w:w="556" w:type="pct"/>
            <w:tcBorders>
              <w:top w:val="single" w:sz="4" w:space="0" w:color="auto"/>
              <w:left w:val="nil"/>
              <w:bottom w:val="single" w:sz="4" w:space="0" w:color="auto"/>
              <w:right w:val="single" w:sz="4" w:space="0" w:color="auto"/>
            </w:tcBorders>
            <w:shd w:val="clear" w:color="auto" w:fill="auto"/>
            <w:vAlign w:val="bottom"/>
          </w:tcPr>
          <w:p w14:paraId="21332289" w14:textId="6D820FCC" w:rsidR="00BF6FDD" w:rsidRPr="00090FB2" w:rsidRDefault="00BF6FDD" w:rsidP="00BF6FDD">
            <w:pPr>
              <w:pStyle w:val="Table"/>
            </w:pPr>
            <w:r>
              <w:rPr>
                <w:rFonts w:ascii="Calibri" w:hAnsi="Calibri" w:cs="Calibri"/>
                <w:color w:val="000000"/>
              </w:rPr>
              <w:t>2028</w:t>
            </w:r>
          </w:p>
        </w:tc>
        <w:tc>
          <w:tcPr>
            <w:tcW w:w="556" w:type="pct"/>
            <w:tcBorders>
              <w:top w:val="single" w:sz="4" w:space="0" w:color="auto"/>
              <w:left w:val="nil"/>
              <w:bottom w:val="single" w:sz="4" w:space="0" w:color="auto"/>
              <w:right w:val="single" w:sz="4" w:space="0" w:color="auto"/>
            </w:tcBorders>
            <w:shd w:val="clear" w:color="auto" w:fill="auto"/>
            <w:vAlign w:val="bottom"/>
          </w:tcPr>
          <w:p w14:paraId="23CE9229" w14:textId="20F23505" w:rsidR="00BF6FDD" w:rsidRPr="00090FB2" w:rsidRDefault="00BF6FDD" w:rsidP="00BF6FDD">
            <w:pPr>
              <w:pStyle w:val="Table"/>
            </w:pPr>
            <w:r>
              <w:rPr>
                <w:rFonts w:ascii="Calibri" w:hAnsi="Calibri" w:cs="Calibri"/>
                <w:color w:val="000000"/>
              </w:rPr>
              <w:t>2029</w:t>
            </w:r>
          </w:p>
        </w:tc>
      </w:tr>
      <w:tr w:rsidR="00BF6FDD" w:rsidRPr="00D91798" w14:paraId="28B851AB" w14:textId="77777777" w:rsidTr="00BF6FDD">
        <w:trPr>
          <w:cantSplit/>
        </w:trPr>
        <w:tc>
          <w:tcPr>
            <w:tcW w:w="1107" w:type="pct"/>
          </w:tcPr>
          <w:p w14:paraId="24417F09" w14:textId="0BA53959" w:rsidR="00BF6FDD" w:rsidRPr="00D91798" w:rsidRDefault="00BF6FDD" w:rsidP="00BF6FDD">
            <w:pPr>
              <w:pStyle w:val="Table"/>
            </w:pPr>
            <w:r w:rsidRPr="00270F7D">
              <w:t>Mexico</w:t>
            </w:r>
          </w:p>
        </w:tc>
        <w:tc>
          <w:tcPr>
            <w:tcW w:w="556" w:type="pct"/>
            <w:tcBorders>
              <w:top w:val="nil"/>
              <w:left w:val="single" w:sz="4" w:space="0" w:color="auto"/>
              <w:bottom w:val="single" w:sz="4" w:space="0" w:color="auto"/>
              <w:right w:val="single" w:sz="4" w:space="0" w:color="auto"/>
            </w:tcBorders>
            <w:shd w:val="clear" w:color="auto" w:fill="auto"/>
            <w:vAlign w:val="bottom"/>
          </w:tcPr>
          <w:p w14:paraId="35144328" w14:textId="2CDFDECD" w:rsidR="00BF6FDD" w:rsidRPr="00D91798" w:rsidRDefault="00BF6FDD" w:rsidP="00BF6FDD">
            <w:pPr>
              <w:pStyle w:val="Table"/>
            </w:pPr>
            <w:r>
              <w:rPr>
                <w:rFonts w:ascii="Calibri" w:hAnsi="Calibri" w:cs="Calibri"/>
                <w:color w:val="000000"/>
              </w:rPr>
              <w:t>3.3</w:t>
            </w:r>
          </w:p>
        </w:tc>
        <w:tc>
          <w:tcPr>
            <w:tcW w:w="556" w:type="pct"/>
            <w:tcBorders>
              <w:top w:val="nil"/>
              <w:left w:val="nil"/>
              <w:bottom w:val="single" w:sz="4" w:space="0" w:color="auto"/>
              <w:right w:val="single" w:sz="4" w:space="0" w:color="auto"/>
            </w:tcBorders>
            <w:shd w:val="clear" w:color="auto" w:fill="auto"/>
            <w:vAlign w:val="bottom"/>
          </w:tcPr>
          <w:p w14:paraId="7AECC43C" w14:textId="14869AC8" w:rsidR="00BF6FDD" w:rsidRPr="00D91798" w:rsidRDefault="00BF6FDD" w:rsidP="00BF6FDD">
            <w:pPr>
              <w:pStyle w:val="Table"/>
            </w:pPr>
            <w:r>
              <w:rPr>
                <w:rFonts w:ascii="Calibri" w:hAnsi="Calibri" w:cs="Calibri"/>
                <w:color w:val="000000"/>
              </w:rPr>
              <w:t>1.5</w:t>
            </w:r>
          </w:p>
        </w:tc>
        <w:tc>
          <w:tcPr>
            <w:tcW w:w="557" w:type="pct"/>
            <w:tcBorders>
              <w:top w:val="nil"/>
              <w:left w:val="nil"/>
              <w:bottom w:val="single" w:sz="4" w:space="0" w:color="auto"/>
              <w:right w:val="single" w:sz="4" w:space="0" w:color="auto"/>
            </w:tcBorders>
            <w:shd w:val="clear" w:color="auto" w:fill="auto"/>
            <w:vAlign w:val="bottom"/>
          </w:tcPr>
          <w:p w14:paraId="4517DB00" w14:textId="362745BC" w:rsidR="00BF6FDD" w:rsidRPr="00D91798" w:rsidRDefault="00BF6FDD" w:rsidP="00BF6FDD">
            <w:pPr>
              <w:pStyle w:val="Table"/>
            </w:pPr>
            <w:r>
              <w:rPr>
                <w:rFonts w:ascii="Calibri" w:hAnsi="Calibri" w:cs="Calibri"/>
                <w:color w:val="000000"/>
              </w:rPr>
              <w:t>-0.3</w:t>
            </w:r>
          </w:p>
        </w:tc>
        <w:tc>
          <w:tcPr>
            <w:tcW w:w="556" w:type="pct"/>
            <w:tcBorders>
              <w:top w:val="nil"/>
              <w:left w:val="nil"/>
              <w:bottom w:val="single" w:sz="4" w:space="0" w:color="auto"/>
              <w:right w:val="single" w:sz="4" w:space="0" w:color="auto"/>
            </w:tcBorders>
            <w:shd w:val="clear" w:color="auto" w:fill="auto"/>
            <w:vAlign w:val="bottom"/>
          </w:tcPr>
          <w:p w14:paraId="07CCA62B" w14:textId="0CD75493" w:rsidR="00BF6FDD" w:rsidRPr="00D91798" w:rsidRDefault="00BF6FDD" w:rsidP="00BF6FDD">
            <w:pPr>
              <w:pStyle w:val="Table"/>
            </w:pPr>
            <w:r>
              <w:rPr>
                <w:rFonts w:ascii="Calibri" w:hAnsi="Calibri" w:cs="Calibri"/>
                <w:color w:val="000000"/>
              </w:rPr>
              <w:t>1.4</w:t>
            </w:r>
          </w:p>
        </w:tc>
        <w:tc>
          <w:tcPr>
            <w:tcW w:w="556" w:type="pct"/>
            <w:tcBorders>
              <w:top w:val="nil"/>
              <w:left w:val="nil"/>
              <w:bottom w:val="single" w:sz="4" w:space="0" w:color="auto"/>
              <w:right w:val="single" w:sz="4" w:space="0" w:color="auto"/>
            </w:tcBorders>
            <w:shd w:val="clear" w:color="auto" w:fill="auto"/>
            <w:vAlign w:val="bottom"/>
          </w:tcPr>
          <w:p w14:paraId="7FB34732" w14:textId="5646C8E3" w:rsidR="00BF6FDD" w:rsidRPr="00D91798" w:rsidRDefault="00BF6FDD" w:rsidP="00BF6FDD">
            <w:pPr>
              <w:pStyle w:val="Table"/>
            </w:pPr>
            <w:r>
              <w:rPr>
                <w:rFonts w:ascii="Calibri" w:hAnsi="Calibri" w:cs="Calibri"/>
                <w:color w:val="000000"/>
              </w:rPr>
              <w:t>1.9</w:t>
            </w:r>
          </w:p>
        </w:tc>
        <w:tc>
          <w:tcPr>
            <w:tcW w:w="556" w:type="pct"/>
            <w:tcBorders>
              <w:top w:val="nil"/>
              <w:left w:val="nil"/>
              <w:bottom w:val="single" w:sz="4" w:space="0" w:color="auto"/>
              <w:right w:val="single" w:sz="4" w:space="0" w:color="auto"/>
            </w:tcBorders>
            <w:shd w:val="clear" w:color="auto" w:fill="auto"/>
            <w:vAlign w:val="bottom"/>
          </w:tcPr>
          <w:p w14:paraId="1BBF3B95" w14:textId="282B860D" w:rsidR="00BF6FDD" w:rsidRPr="00D91798" w:rsidRDefault="00BF6FDD" w:rsidP="00BF6FDD">
            <w:pPr>
              <w:pStyle w:val="Table"/>
            </w:pPr>
            <w:r>
              <w:rPr>
                <w:rFonts w:ascii="Calibri" w:hAnsi="Calibri" w:cs="Calibri"/>
                <w:color w:val="000000"/>
              </w:rPr>
              <w:t>1.9</w:t>
            </w:r>
          </w:p>
        </w:tc>
        <w:tc>
          <w:tcPr>
            <w:tcW w:w="556" w:type="pct"/>
            <w:tcBorders>
              <w:top w:val="nil"/>
              <w:left w:val="nil"/>
              <w:bottom w:val="single" w:sz="4" w:space="0" w:color="auto"/>
              <w:right w:val="single" w:sz="4" w:space="0" w:color="auto"/>
            </w:tcBorders>
            <w:shd w:val="clear" w:color="auto" w:fill="auto"/>
            <w:vAlign w:val="bottom"/>
          </w:tcPr>
          <w:p w14:paraId="125D84B2" w14:textId="4646CA9B" w:rsidR="00BF6FDD" w:rsidRPr="00D91798" w:rsidRDefault="00BF6FDD" w:rsidP="00BF6FDD">
            <w:pPr>
              <w:pStyle w:val="Table"/>
            </w:pPr>
            <w:r>
              <w:rPr>
                <w:rFonts w:ascii="Calibri" w:hAnsi="Calibri" w:cs="Calibri"/>
                <w:color w:val="000000"/>
              </w:rPr>
              <w:t>2</w:t>
            </w:r>
          </w:p>
        </w:tc>
      </w:tr>
      <w:tr w:rsidR="00BF6FDD" w:rsidRPr="00D91798" w14:paraId="0F2A86A8" w14:textId="77777777" w:rsidTr="00BF6FDD">
        <w:trPr>
          <w:cantSplit/>
        </w:trPr>
        <w:tc>
          <w:tcPr>
            <w:tcW w:w="1107" w:type="pct"/>
          </w:tcPr>
          <w:p w14:paraId="67A22984" w14:textId="5C95D2BD" w:rsidR="00BF6FDD" w:rsidRPr="00D91798" w:rsidRDefault="00BF6FDD" w:rsidP="00BF6FDD">
            <w:pPr>
              <w:pStyle w:val="Table"/>
            </w:pPr>
            <w:r w:rsidRPr="00270F7D">
              <w:t>Indonesia</w:t>
            </w:r>
          </w:p>
        </w:tc>
        <w:tc>
          <w:tcPr>
            <w:tcW w:w="556" w:type="pct"/>
            <w:tcBorders>
              <w:top w:val="nil"/>
              <w:left w:val="single" w:sz="4" w:space="0" w:color="auto"/>
              <w:bottom w:val="single" w:sz="4" w:space="0" w:color="auto"/>
              <w:right w:val="single" w:sz="4" w:space="0" w:color="auto"/>
            </w:tcBorders>
            <w:shd w:val="clear" w:color="auto" w:fill="auto"/>
            <w:vAlign w:val="bottom"/>
          </w:tcPr>
          <w:p w14:paraId="531FA01E" w14:textId="7B7D0336" w:rsidR="00BF6FDD" w:rsidRPr="00D91798" w:rsidRDefault="00BF6FDD" w:rsidP="00BF6FDD">
            <w:pPr>
              <w:pStyle w:val="Table"/>
            </w:pPr>
            <w:r>
              <w:rPr>
                <w:rFonts w:ascii="Calibri" w:hAnsi="Calibri" w:cs="Calibri"/>
                <w:color w:val="000000"/>
              </w:rPr>
              <w:t>5</w:t>
            </w:r>
          </w:p>
        </w:tc>
        <w:tc>
          <w:tcPr>
            <w:tcW w:w="556" w:type="pct"/>
            <w:tcBorders>
              <w:top w:val="nil"/>
              <w:left w:val="nil"/>
              <w:bottom w:val="single" w:sz="4" w:space="0" w:color="auto"/>
              <w:right w:val="single" w:sz="4" w:space="0" w:color="auto"/>
            </w:tcBorders>
            <w:shd w:val="clear" w:color="auto" w:fill="auto"/>
            <w:vAlign w:val="bottom"/>
          </w:tcPr>
          <w:p w14:paraId="7F4E7FB4" w14:textId="0FC389DE" w:rsidR="00BF6FDD" w:rsidRPr="00D91798" w:rsidRDefault="00BF6FDD" w:rsidP="00BF6FDD">
            <w:pPr>
              <w:pStyle w:val="Table"/>
            </w:pPr>
            <w:r>
              <w:rPr>
                <w:rFonts w:ascii="Calibri" w:hAnsi="Calibri" w:cs="Calibri"/>
                <w:color w:val="000000"/>
              </w:rPr>
              <w:t>5</w:t>
            </w:r>
          </w:p>
        </w:tc>
        <w:tc>
          <w:tcPr>
            <w:tcW w:w="557" w:type="pct"/>
            <w:tcBorders>
              <w:top w:val="nil"/>
              <w:left w:val="nil"/>
              <w:bottom w:val="single" w:sz="4" w:space="0" w:color="auto"/>
              <w:right w:val="single" w:sz="4" w:space="0" w:color="auto"/>
            </w:tcBorders>
            <w:shd w:val="clear" w:color="auto" w:fill="auto"/>
            <w:vAlign w:val="bottom"/>
          </w:tcPr>
          <w:p w14:paraId="0186104F" w14:textId="432BD02F" w:rsidR="00BF6FDD" w:rsidRPr="00D91798" w:rsidRDefault="00BF6FDD" w:rsidP="00BF6FDD">
            <w:pPr>
              <w:pStyle w:val="Table"/>
            </w:pPr>
            <w:r>
              <w:rPr>
                <w:rFonts w:ascii="Calibri" w:hAnsi="Calibri" w:cs="Calibri"/>
                <w:color w:val="000000"/>
              </w:rPr>
              <w:t>4.7</w:t>
            </w:r>
          </w:p>
        </w:tc>
        <w:tc>
          <w:tcPr>
            <w:tcW w:w="556" w:type="pct"/>
            <w:tcBorders>
              <w:top w:val="nil"/>
              <w:left w:val="nil"/>
              <w:bottom w:val="single" w:sz="4" w:space="0" w:color="auto"/>
              <w:right w:val="single" w:sz="4" w:space="0" w:color="auto"/>
            </w:tcBorders>
            <w:shd w:val="clear" w:color="auto" w:fill="auto"/>
            <w:vAlign w:val="bottom"/>
          </w:tcPr>
          <w:p w14:paraId="0F2C5A2E" w14:textId="29077FE6" w:rsidR="00BF6FDD" w:rsidRPr="00D91798" w:rsidRDefault="00BF6FDD" w:rsidP="00BF6FDD">
            <w:pPr>
              <w:pStyle w:val="Table"/>
            </w:pPr>
            <w:r>
              <w:rPr>
                <w:rFonts w:ascii="Calibri" w:hAnsi="Calibri" w:cs="Calibri"/>
                <w:color w:val="000000"/>
              </w:rPr>
              <w:t>4.7</w:t>
            </w:r>
          </w:p>
        </w:tc>
        <w:tc>
          <w:tcPr>
            <w:tcW w:w="556" w:type="pct"/>
            <w:tcBorders>
              <w:top w:val="nil"/>
              <w:left w:val="nil"/>
              <w:bottom w:val="single" w:sz="4" w:space="0" w:color="auto"/>
              <w:right w:val="single" w:sz="4" w:space="0" w:color="auto"/>
            </w:tcBorders>
            <w:shd w:val="clear" w:color="auto" w:fill="auto"/>
            <w:vAlign w:val="bottom"/>
          </w:tcPr>
          <w:p w14:paraId="338C4206" w14:textId="019953A3" w:rsidR="00BF6FDD" w:rsidRPr="00D91798" w:rsidRDefault="00BF6FDD" w:rsidP="00BF6FDD">
            <w:pPr>
              <w:pStyle w:val="Table"/>
            </w:pPr>
            <w:r>
              <w:rPr>
                <w:rFonts w:ascii="Calibri" w:hAnsi="Calibri" w:cs="Calibri"/>
                <w:color w:val="000000"/>
              </w:rPr>
              <w:t>5.1</w:t>
            </w:r>
          </w:p>
        </w:tc>
        <w:tc>
          <w:tcPr>
            <w:tcW w:w="556" w:type="pct"/>
            <w:tcBorders>
              <w:top w:val="nil"/>
              <w:left w:val="nil"/>
              <w:bottom w:val="single" w:sz="4" w:space="0" w:color="auto"/>
              <w:right w:val="single" w:sz="4" w:space="0" w:color="auto"/>
            </w:tcBorders>
            <w:shd w:val="clear" w:color="auto" w:fill="auto"/>
            <w:vAlign w:val="bottom"/>
          </w:tcPr>
          <w:p w14:paraId="26CD9EB6" w14:textId="5CC20F51" w:rsidR="00BF6FDD" w:rsidRPr="00D91798" w:rsidRDefault="00BF6FDD" w:rsidP="00BF6FDD">
            <w:pPr>
              <w:pStyle w:val="Table"/>
            </w:pPr>
            <w:r>
              <w:rPr>
                <w:rFonts w:ascii="Calibri" w:hAnsi="Calibri" w:cs="Calibri"/>
                <w:color w:val="000000"/>
              </w:rPr>
              <w:t>5.1</w:t>
            </w:r>
          </w:p>
        </w:tc>
        <w:tc>
          <w:tcPr>
            <w:tcW w:w="556" w:type="pct"/>
            <w:tcBorders>
              <w:top w:val="nil"/>
              <w:left w:val="nil"/>
              <w:bottom w:val="single" w:sz="4" w:space="0" w:color="auto"/>
              <w:right w:val="single" w:sz="4" w:space="0" w:color="auto"/>
            </w:tcBorders>
            <w:shd w:val="clear" w:color="auto" w:fill="auto"/>
            <w:vAlign w:val="bottom"/>
          </w:tcPr>
          <w:p w14:paraId="394E62A1" w14:textId="72F034F5" w:rsidR="00BF6FDD" w:rsidRPr="00D91798" w:rsidRDefault="00BF6FDD" w:rsidP="00BF6FDD">
            <w:pPr>
              <w:pStyle w:val="Table"/>
            </w:pPr>
            <w:r>
              <w:rPr>
                <w:rFonts w:ascii="Calibri" w:hAnsi="Calibri" w:cs="Calibri"/>
                <w:color w:val="000000"/>
              </w:rPr>
              <w:t>5.2</w:t>
            </w:r>
          </w:p>
        </w:tc>
      </w:tr>
      <w:tr w:rsidR="00BF6FDD" w:rsidRPr="00D91798" w14:paraId="022B59E0" w14:textId="77777777" w:rsidTr="00BF6FDD">
        <w:trPr>
          <w:cantSplit/>
        </w:trPr>
        <w:tc>
          <w:tcPr>
            <w:tcW w:w="1107" w:type="pct"/>
          </w:tcPr>
          <w:p w14:paraId="30FD7605" w14:textId="7AC27A78" w:rsidR="00BF6FDD" w:rsidRPr="00D91798" w:rsidRDefault="00BF6FDD" w:rsidP="00BF6FDD">
            <w:pPr>
              <w:pStyle w:val="Table"/>
            </w:pPr>
            <w:r w:rsidRPr="00270F7D">
              <w:t>Turkey</w:t>
            </w:r>
          </w:p>
        </w:tc>
        <w:tc>
          <w:tcPr>
            <w:tcW w:w="556" w:type="pct"/>
            <w:tcBorders>
              <w:top w:val="nil"/>
              <w:left w:val="single" w:sz="4" w:space="0" w:color="auto"/>
              <w:bottom w:val="single" w:sz="4" w:space="0" w:color="auto"/>
              <w:right w:val="single" w:sz="4" w:space="0" w:color="auto"/>
            </w:tcBorders>
            <w:shd w:val="clear" w:color="auto" w:fill="auto"/>
            <w:vAlign w:val="bottom"/>
          </w:tcPr>
          <w:p w14:paraId="06A56288" w14:textId="3F1448F3" w:rsidR="00BF6FDD" w:rsidRPr="00D91798" w:rsidRDefault="00BF6FDD" w:rsidP="00BF6FDD">
            <w:pPr>
              <w:pStyle w:val="Table"/>
            </w:pPr>
            <w:r>
              <w:rPr>
                <w:rFonts w:ascii="Calibri" w:hAnsi="Calibri" w:cs="Calibri"/>
                <w:color w:val="000000"/>
              </w:rPr>
              <w:t>5.1</w:t>
            </w:r>
          </w:p>
        </w:tc>
        <w:tc>
          <w:tcPr>
            <w:tcW w:w="556" w:type="pct"/>
            <w:tcBorders>
              <w:top w:val="nil"/>
              <w:left w:val="nil"/>
              <w:bottom w:val="single" w:sz="4" w:space="0" w:color="auto"/>
              <w:right w:val="single" w:sz="4" w:space="0" w:color="auto"/>
            </w:tcBorders>
            <w:shd w:val="clear" w:color="auto" w:fill="auto"/>
            <w:vAlign w:val="bottom"/>
          </w:tcPr>
          <w:p w14:paraId="11C19E2D" w14:textId="022103B9" w:rsidR="00BF6FDD" w:rsidRPr="00D91798" w:rsidRDefault="00BF6FDD" w:rsidP="00BF6FDD">
            <w:pPr>
              <w:pStyle w:val="Table"/>
            </w:pPr>
            <w:r>
              <w:rPr>
                <w:rFonts w:ascii="Calibri" w:hAnsi="Calibri" w:cs="Calibri"/>
                <w:color w:val="000000"/>
              </w:rPr>
              <w:t>3.2</w:t>
            </w:r>
          </w:p>
        </w:tc>
        <w:tc>
          <w:tcPr>
            <w:tcW w:w="557" w:type="pct"/>
            <w:tcBorders>
              <w:top w:val="nil"/>
              <w:left w:val="nil"/>
              <w:bottom w:val="single" w:sz="4" w:space="0" w:color="auto"/>
              <w:right w:val="single" w:sz="4" w:space="0" w:color="auto"/>
            </w:tcBorders>
            <w:shd w:val="clear" w:color="auto" w:fill="auto"/>
            <w:vAlign w:val="bottom"/>
          </w:tcPr>
          <w:p w14:paraId="4BDDE29D" w14:textId="423FB3E5" w:rsidR="00BF6FDD" w:rsidRPr="00D91798" w:rsidRDefault="00BF6FDD" w:rsidP="00BF6FDD">
            <w:pPr>
              <w:pStyle w:val="Table"/>
            </w:pPr>
            <w:r>
              <w:rPr>
                <w:rFonts w:ascii="Calibri" w:hAnsi="Calibri" w:cs="Calibri"/>
                <w:color w:val="000000"/>
              </w:rPr>
              <w:t>2.7</w:t>
            </w:r>
          </w:p>
        </w:tc>
        <w:tc>
          <w:tcPr>
            <w:tcW w:w="556" w:type="pct"/>
            <w:tcBorders>
              <w:top w:val="nil"/>
              <w:left w:val="nil"/>
              <w:bottom w:val="single" w:sz="4" w:space="0" w:color="auto"/>
              <w:right w:val="single" w:sz="4" w:space="0" w:color="auto"/>
            </w:tcBorders>
            <w:shd w:val="clear" w:color="auto" w:fill="auto"/>
            <w:vAlign w:val="bottom"/>
          </w:tcPr>
          <w:p w14:paraId="1A4B78B4" w14:textId="11CEC4D3" w:rsidR="00BF6FDD" w:rsidRPr="00D91798" w:rsidRDefault="00BF6FDD" w:rsidP="00BF6FDD">
            <w:pPr>
              <w:pStyle w:val="Table"/>
            </w:pPr>
            <w:r>
              <w:rPr>
                <w:rFonts w:ascii="Calibri" w:hAnsi="Calibri" w:cs="Calibri"/>
                <w:color w:val="000000"/>
              </w:rPr>
              <w:t>3.2</w:t>
            </w:r>
          </w:p>
        </w:tc>
        <w:tc>
          <w:tcPr>
            <w:tcW w:w="556" w:type="pct"/>
            <w:tcBorders>
              <w:top w:val="nil"/>
              <w:left w:val="nil"/>
              <w:bottom w:val="single" w:sz="4" w:space="0" w:color="auto"/>
              <w:right w:val="single" w:sz="4" w:space="0" w:color="auto"/>
            </w:tcBorders>
            <w:shd w:val="clear" w:color="auto" w:fill="auto"/>
            <w:vAlign w:val="bottom"/>
          </w:tcPr>
          <w:p w14:paraId="5C6258CC" w14:textId="6F0F92E1" w:rsidR="00BF6FDD" w:rsidRPr="00D91798" w:rsidRDefault="00BF6FDD" w:rsidP="00BF6FDD">
            <w:pPr>
              <w:pStyle w:val="Table"/>
            </w:pPr>
            <w:r>
              <w:rPr>
                <w:rFonts w:ascii="Calibri" w:hAnsi="Calibri" w:cs="Calibri"/>
                <w:color w:val="000000"/>
              </w:rPr>
              <w:t>3.6</w:t>
            </w:r>
          </w:p>
        </w:tc>
        <w:tc>
          <w:tcPr>
            <w:tcW w:w="556" w:type="pct"/>
            <w:tcBorders>
              <w:top w:val="nil"/>
              <w:left w:val="nil"/>
              <w:bottom w:val="single" w:sz="4" w:space="0" w:color="auto"/>
              <w:right w:val="single" w:sz="4" w:space="0" w:color="auto"/>
            </w:tcBorders>
            <w:shd w:val="clear" w:color="auto" w:fill="auto"/>
            <w:vAlign w:val="bottom"/>
          </w:tcPr>
          <w:p w14:paraId="43F567EB" w14:textId="07043295" w:rsidR="00BF6FDD" w:rsidRPr="00D91798" w:rsidRDefault="00BF6FDD" w:rsidP="00BF6FDD">
            <w:pPr>
              <w:pStyle w:val="Table"/>
            </w:pPr>
            <w:r>
              <w:rPr>
                <w:rFonts w:ascii="Calibri" w:hAnsi="Calibri" w:cs="Calibri"/>
                <w:color w:val="000000"/>
              </w:rPr>
              <w:t>3.5</w:t>
            </w:r>
          </w:p>
        </w:tc>
        <w:tc>
          <w:tcPr>
            <w:tcW w:w="556" w:type="pct"/>
            <w:tcBorders>
              <w:top w:val="nil"/>
              <w:left w:val="nil"/>
              <w:bottom w:val="single" w:sz="4" w:space="0" w:color="auto"/>
              <w:right w:val="single" w:sz="4" w:space="0" w:color="auto"/>
            </w:tcBorders>
            <w:shd w:val="clear" w:color="auto" w:fill="auto"/>
            <w:vAlign w:val="bottom"/>
          </w:tcPr>
          <w:p w14:paraId="38A08C18" w14:textId="12EBFB2F" w:rsidR="00BF6FDD" w:rsidRPr="00D91798" w:rsidRDefault="00BF6FDD" w:rsidP="00BF6FDD">
            <w:pPr>
              <w:pStyle w:val="Table"/>
            </w:pPr>
            <w:r>
              <w:rPr>
                <w:rFonts w:ascii="Calibri" w:hAnsi="Calibri" w:cs="Calibri"/>
                <w:color w:val="000000"/>
              </w:rPr>
              <w:t>3.5</w:t>
            </w:r>
          </w:p>
        </w:tc>
      </w:tr>
      <w:tr w:rsidR="00BF6FDD" w:rsidRPr="00D91798" w14:paraId="49BADA79" w14:textId="77777777" w:rsidTr="00BF6FDD">
        <w:trPr>
          <w:cantSplit/>
        </w:trPr>
        <w:tc>
          <w:tcPr>
            <w:tcW w:w="1107" w:type="pct"/>
          </w:tcPr>
          <w:p w14:paraId="618F52FA" w14:textId="11E13752" w:rsidR="00BF6FDD" w:rsidRPr="00D91798" w:rsidRDefault="00BF6FDD" w:rsidP="00BF6FDD">
            <w:pPr>
              <w:pStyle w:val="Table"/>
            </w:pPr>
            <w:r w:rsidRPr="00270F7D">
              <w:t>United States</w:t>
            </w:r>
          </w:p>
        </w:tc>
        <w:tc>
          <w:tcPr>
            <w:tcW w:w="556" w:type="pct"/>
            <w:tcBorders>
              <w:top w:val="nil"/>
              <w:left w:val="single" w:sz="4" w:space="0" w:color="auto"/>
              <w:bottom w:val="single" w:sz="4" w:space="0" w:color="auto"/>
              <w:right w:val="single" w:sz="4" w:space="0" w:color="auto"/>
            </w:tcBorders>
            <w:shd w:val="clear" w:color="auto" w:fill="auto"/>
            <w:vAlign w:val="bottom"/>
          </w:tcPr>
          <w:p w14:paraId="526F2DD7" w14:textId="3707F82E" w:rsidR="00BF6FDD" w:rsidRPr="00D91798" w:rsidRDefault="00BF6FDD" w:rsidP="00BF6FDD">
            <w:pPr>
              <w:pStyle w:val="Table"/>
            </w:pPr>
            <w:r>
              <w:rPr>
                <w:rFonts w:ascii="Calibri" w:hAnsi="Calibri" w:cs="Calibri"/>
                <w:color w:val="000000"/>
              </w:rPr>
              <w:t>2.9</w:t>
            </w:r>
          </w:p>
        </w:tc>
        <w:tc>
          <w:tcPr>
            <w:tcW w:w="556" w:type="pct"/>
            <w:tcBorders>
              <w:top w:val="nil"/>
              <w:left w:val="nil"/>
              <w:bottom w:val="single" w:sz="4" w:space="0" w:color="auto"/>
              <w:right w:val="single" w:sz="4" w:space="0" w:color="auto"/>
            </w:tcBorders>
            <w:shd w:val="clear" w:color="auto" w:fill="auto"/>
            <w:vAlign w:val="bottom"/>
          </w:tcPr>
          <w:p w14:paraId="0E3E75F6" w14:textId="7FF85B17" w:rsidR="00BF6FDD" w:rsidRPr="00D91798" w:rsidRDefault="00BF6FDD" w:rsidP="00BF6FDD">
            <w:pPr>
              <w:pStyle w:val="Table"/>
            </w:pPr>
            <w:r>
              <w:rPr>
                <w:rFonts w:ascii="Calibri" w:hAnsi="Calibri" w:cs="Calibri"/>
                <w:color w:val="000000"/>
              </w:rPr>
              <w:t>2.8</w:t>
            </w:r>
          </w:p>
        </w:tc>
        <w:tc>
          <w:tcPr>
            <w:tcW w:w="557" w:type="pct"/>
            <w:tcBorders>
              <w:top w:val="nil"/>
              <w:left w:val="nil"/>
              <w:bottom w:val="single" w:sz="4" w:space="0" w:color="auto"/>
              <w:right w:val="single" w:sz="4" w:space="0" w:color="auto"/>
            </w:tcBorders>
            <w:shd w:val="clear" w:color="auto" w:fill="auto"/>
            <w:vAlign w:val="bottom"/>
          </w:tcPr>
          <w:p w14:paraId="0D402494" w14:textId="1BE294F0" w:rsidR="00BF6FDD" w:rsidRPr="00D91798" w:rsidRDefault="00BF6FDD" w:rsidP="00BF6FDD">
            <w:pPr>
              <w:pStyle w:val="Table"/>
            </w:pPr>
            <w:r>
              <w:rPr>
                <w:rFonts w:ascii="Calibri" w:hAnsi="Calibri" w:cs="Calibri"/>
                <w:color w:val="000000"/>
              </w:rPr>
              <w:t>1.8</w:t>
            </w:r>
          </w:p>
        </w:tc>
        <w:tc>
          <w:tcPr>
            <w:tcW w:w="556" w:type="pct"/>
            <w:tcBorders>
              <w:top w:val="nil"/>
              <w:left w:val="nil"/>
              <w:bottom w:val="single" w:sz="4" w:space="0" w:color="auto"/>
              <w:right w:val="single" w:sz="4" w:space="0" w:color="auto"/>
            </w:tcBorders>
            <w:shd w:val="clear" w:color="auto" w:fill="auto"/>
            <w:vAlign w:val="bottom"/>
          </w:tcPr>
          <w:p w14:paraId="70C7FCCE" w14:textId="51679152" w:rsidR="00BF6FDD" w:rsidRPr="00D91798" w:rsidRDefault="00BF6FDD" w:rsidP="00BF6FDD">
            <w:pPr>
              <w:pStyle w:val="Table"/>
            </w:pPr>
            <w:r>
              <w:rPr>
                <w:rFonts w:ascii="Calibri" w:hAnsi="Calibri" w:cs="Calibri"/>
                <w:color w:val="000000"/>
              </w:rPr>
              <w:t>1.7</w:t>
            </w:r>
          </w:p>
        </w:tc>
        <w:tc>
          <w:tcPr>
            <w:tcW w:w="556" w:type="pct"/>
            <w:tcBorders>
              <w:top w:val="nil"/>
              <w:left w:val="nil"/>
              <w:bottom w:val="single" w:sz="4" w:space="0" w:color="auto"/>
              <w:right w:val="single" w:sz="4" w:space="0" w:color="auto"/>
            </w:tcBorders>
            <w:shd w:val="clear" w:color="auto" w:fill="auto"/>
            <w:vAlign w:val="bottom"/>
          </w:tcPr>
          <w:p w14:paraId="433A7022" w14:textId="3DFEC05A" w:rsidR="00BF6FDD" w:rsidRPr="00D91798" w:rsidRDefault="00BF6FDD" w:rsidP="00BF6FDD">
            <w:pPr>
              <w:pStyle w:val="Table"/>
            </w:pPr>
            <w:r>
              <w:rPr>
                <w:rFonts w:ascii="Calibri" w:hAnsi="Calibri" w:cs="Calibri"/>
                <w:color w:val="000000"/>
              </w:rPr>
              <w:t>2.2</w:t>
            </w:r>
          </w:p>
        </w:tc>
        <w:tc>
          <w:tcPr>
            <w:tcW w:w="556" w:type="pct"/>
            <w:tcBorders>
              <w:top w:val="nil"/>
              <w:left w:val="nil"/>
              <w:bottom w:val="single" w:sz="4" w:space="0" w:color="auto"/>
              <w:right w:val="single" w:sz="4" w:space="0" w:color="auto"/>
            </w:tcBorders>
            <w:shd w:val="clear" w:color="auto" w:fill="auto"/>
            <w:vAlign w:val="bottom"/>
          </w:tcPr>
          <w:p w14:paraId="33ECA796" w14:textId="5A447995" w:rsidR="00BF6FDD" w:rsidRPr="00D91798" w:rsidRDefault="00BF6FDD" w:rsidP="00BF6FDD">
            <w:pPr>
              <w:pStyle w:val="Table"/>
            </w:pPr>
            <w:r>
              <w:rPr>
                <w:rFonts w:ascii="Calibri" w:hAnsi="Calibri" w:cs="Calibri"/>
                <w:color w:val="000000"/>
              </w:rPr>
              <w:t>2.1</w:t>
            </w:r>
          </w:p>
        </w:tc>
        <w:tc>
          <w:tcPr>
            <w:tcW w:w="556" w:type="pct"/>
            <w:tcBorders>
              <w:top w:val="nil"/>
              <w:left w:val="nil"/>
              <w:bottom w:val="single" w:sz="4" w:space="0" w:color="auto"/>
              <w:right w:val="single" w:sz="4" w:space="0" w:color="auto"/>
            </w:tcBorders>
            <w:shd w:val="clear" w:color="auto" w:fill="auto"/>
            <w:vAlign w:val="bottom"/>
          </w:tcPr>
          <w:p w14:paraId="18E5FA2A" w14:textId="65C4BE7C" w:rsidR="00BF6FDD" w:rsidRPr="00D91798" w:rsidRDefault="00BF6FDD" w:rsidP="00BF6FDD">
            <w:pPr>
              <w:pStyle w:val="Table"/>
            </w:pPr>
            <w:r>
              <w:rPr>
                <w:rFonts w:ascii="Calibri" w:hAnsi="Calibri" w:cs="Calibri"/>
                <w:color w:val="000000"/>
              </w:rPr>
              <w:t>2</w:t>
            </w:r>
          </w:p>
        </w:tc>
      </w:tr>
      <w:tr w:rsidR="00BF6FDD" w:rsidRPr="00D91798" w14:paraId="2AECC9DB" w14:textId="77777777" w:rsidTr="00BF6FDD">
        <w:trPr>
          <w:cantSplit/>
        </w:trPr>
        <w:tc>
          <w:tcPr>
            <w:tcW w:w="1107" w:type="pct"/>
          </w:tcPr>
          <w:p w14:paraId="7AB2FFEB" w14:textId="081403A8" w:rsidR="00BF6FDD" w:rsidRPr="00D91798" w:rsidRDefault="00BF6FDD" w:rsidP="00BF6FDD">
            <w:pPr>
              <w:pStyle w:val="Table"/>
            </w:pPr>
            <w:r w:rsidRPr="00270F7D">
              <w:t>Germany</w:t>
            </w:r>
          </w:p>
        </w:tc>
        <w:tc>
          <w:tcPr>
            <w:tcW w:w="556" w:type="pct"/>
            <w:tcBorders>
              <w:top w:val="nil"/>
              <w:left w:val="single" w:sz="4" w:space="0" w:color="auto"/>
              <w:bottom w:val="single" w:sz="4" w:space="0" w:color="auto"/>
              <w:right w:val="single" w:sz="4" w:space="0" w:color="auto"/>
            </w:tcBorders>
            <w:shd w:val="clear" w:color="auto" w:fill="auto"/>
            <w:vAlign w:val="bottom"/>
          </w:tcPr>
          <w:p w14:paraId="4010E510" w14:textId="0D6D0EF2" w:rsidR="00BF6FDD" w:rsidRPr="00D91798" w:rsidRDefault="00BF6FDD" w:rsidP="00BF6FDD">
            <w:pPr>
              <w:pStyle w:val="Table"/>
            </w:pPr>
            <w:r>
              <w:rPr>
                <w:rFonts w:ascii="Calibri" w:hAnsi="Calibri" w:cs="Calibri"/>
                <w:color w:val="000000"/>
              </w:rPr>
              <w:t>-0.3</w:t>
            </w:r>
          </w:p>
        </w:tc>
        <w:tc>
          <w:tcPr>
            <w:tcW w:w="556" w:type="pct"/>
            <w:tcBorders>
              <w:top w:val="nil"/>
              <w:left w:val="nil"/>
              <w:bottom w:val="single" w:sz="4" w:space="0" w:color="auto"/>
              <w:right w:val="single" w:sz="4" w:space="0" w:color="auto"/>
            </w:tcBorders>
            <w:shd w:val="clear" w:color="auto" w:fill="auto"/>
            <w:vAlign w:val="bottom"/>
          </w:tcPr>
          <w:p w14:paraId="6330790B" w14:textId="41267FC2" w:rsidR="00BF6FDD" w:rsidRPr="00D91798" w:rsidRDefault="00BF6FDD" w:rsidP="00BF6FDD">
            <w:pPr>
              <w:pStyle w:val="Table"/>
            </w:pPr>
            <w:r>
              <w:rPr>
                <w:rFonts w:ascii="Calibri" w:hAnsi="Calibri" w:cs="Calibri"/>
                <w:color w:val="000000"/>
              </w:rPr>
              <w:t>-0.2</w:t>
            </w:r>
          </w:p>
        </w:tc>
        <w:tc>
          <w:tcPr>
            <w:tcW w:w="557" w:type="pct"/>
            <w:tcBorders>
              <w:top w:val="nil"/>
              <w:left w:val="nil"/>
              <w:bottom w:val="single" w:sz="4" w:space="0" w:color="auto"/>
              <w:right w:val="single" w:sz="4" w:space="0" w:color="auto"/>
            </w:tcBorders>
            <w:shd w:val="clear" w:color="auto" w:fill="auto"/>
            <w:vAlign w:val="bottom"/>
          </w:tcPr>
          <w:p w14:paraId="55A079DB" w14:textId="063029E9" w:rsidR="00BF6FDD" w:rsidRPr="00D91798" w:rsidRDefault="00BF6FDD" w:rsidP="00BF6FDD">
            <w:pPr>
              <w:pStyle w:val="Table"/>
            </w:pPr>
            <w:r>
              <w:rPr>
                <w:rFonts w:ascii="Calibri" w:hAnsi="Calibri" w:cs="Calibri"/>
                <w:color w:val="000000"/>
              </w:rPr>
              <w:t>0</w:t>
            </w:r>
          </w:p>
        </w:tc>
        <w:tc>
          <w:tcPr>
            <w:tcW w:w="556" w:type="pct"/>
            <w:tcBorders>
              <w:top w:val="nil"/>
              <w:left w:val="nil"/>
              <w:bottom w:val="single" w:sz="4" w:space="0" w:color="auto"/>
              <w:right w:val="single" w:sz="4" w:space="0" w:color="auto"/>
            </w:tcBorders>
            <w:shd w:val="clear" w:color="auto" w:fill="auto"/>
            <w:vAlign w:val="bottom"/>
          </w:tcPr>
          <w:p w14:paraId="086F9EC1" w14:textId="10BB6D59" w:rsidR="00BF6FDD" w:rsidRPr="00D91798" w:rsidRDefault="00BF6FDD" w:rsidP="00BF6FDD">
            <w:pPr>
              <w:pStyle w:val="Table"/>
            </w:pPr>
            <w:r>
              <w:rPr>
                <w:rFonts w:ascii="Calibri" w:hAnsi="Calibri" w:cs="Calibri"/>
                <w:color w:val="000000"/>
              </w:rPr>
              <w:t>0.9</w:t>
            </w:r>
          </w:p>
        </w:tc>
        <w:tc>
          <w:tcPr>
            <w:tcW w:w="556" w:type="pct"/>
            <w:tcBorders>
              <w:top w:val="nil"/>
              <w:left w:val="nil"/>
              <w:bottom w:val="single" w:sz="4" w:space="0" w:color="auto"/>
              <w:right w:val="single" w:sz="4" w:space="0" w:color="auto"/>
            </w:tcBorders>
            <w:shd w:val="clear" w:color="auto" w:fill="auto"/>
            <w:vAlign w:val="bottom"/>
          </w:tcPr>
          <w:p w14:paraId="3D29FD92" w14:textId="262001CE" w:rsidR="00BF6FDD" w:rsidRPr="00D91798" w:rsidRDefault="00BF6FDD" w:rsidP="00BF6FDD">
            <w:pPr>
              <w:pStyle w:val="Table"/>
            </w:pPr>
            <w:r>
              <w:rPr>
                <w:rFonts w:ascii="Calibri" w:hAnsi="Calibri" w:cs="Calibri"/>
                <w:color w:val="000000"/>
              </w:rPr>
              <w:t>1</w:t>
            </w:r>
          </w:p>
        </w:tc>
        <w:tc>
          <w:tcPr>
            <w:tcW w:w="556" w:type="pct"/>
            <w:tcBorders>
              <w:top w:val="nil"/>
              <w:left w:val="nil"/>
              <w:bottom w:val="single" w:sz="4" w:space="0" w:color="auto"/>
              <w:right w:val="single" w:sz="4" w:space="0" w:color="auto"/>
            </w:tcBorders>
            <w:shd w:val="clear" w:color="auto" w:fill="auto"/>
            <w:vAlign w:val="bottom"/>
          </w:tcPr>
          <w:p w14:paraId="0EF1B15E" w14:textId="458882D8" w:rsidR="00BF6FDD" w:rsidRPr="00D91798" w:rsidRDefault="00BF6FDD" w:rsidP="00BF6FDD">
            <w:pPr>
              <w:pStyle w:val="Table"/>
            </w:pPr>
            <w:r>
              <w:rPr>
                <w:rFonts w:ascii="Calibri" w:hAnsi="Calibri" w:cs="Calibri"/>
                <w:color w:val="000000"/>
              </w:rPr>
              <w:t>1.1</w:t>
            </w:r>
          </w:p>
        </w:tc>
        <w:tc>
          <w:tcPr>
            <w:tcW w:w="556" w:type="pct"/>
            <w:tcBorders>
              <w:top w:val="nil"/>
              <w:left w:val="nil"/>
              <w:bottom w:val="single" w:sz="4" w:space="0" w:color="auto"/>
              <w:right w:val="single" w:sz="4" w:space="0" w:color="auto"/>
            </w:tcBorders>
            <w:shd w:val="clear" w:color="auto" w:fill="auto"/>
            <w:vAlign w:val="bottom"/>
          </w:tcPr>
          <w:p w14:paraId="692E2921" w14:textId="111D59EF" w:rsidR="00BF6FDD" w:rsidRPr="00D91798" w:rsidRDefault="00BF6FDD" w:rsidP="00BF6FDD">
            <w:pPr>
              <w:pStyle w:val="Table"/>
            </w:pPr>
            <w:r>
              <w:rPr>
                <w:rFonts w:ascii="Calibri" w:hAnsi="Calibri" w:cs="Calibri"/>
                <w:color w:val="000000"/>
              </w:rPr>
              <w:t>1.1</w:t>
            </w:r>
          </w:p>
        </w:tc>
      </w:tr>
      <w:tr w:rsidR="00BF6FDD" w:rsidRPr="00D91798" w14:paraId="344332C4" w14:textId="77777777" w:rsidTr="00BF6FDD">
        <w:trPr>
          <w:cantSplit/>
        </w:trPr>
        <w:tc>
          <w:tcPr>
            <w:tcW w:w="1107" w:type="pct"/>
          </w:tcPr>
          <w:p w14:paraId="5CD97096" w14:textId="02DD06B9" w:rsidR="00BF6FDD" w:rsidRPr="00D91798" w:rsidRDefault="00BF6FDD" w:rsidP="00BF6FDD">
            <w:pPr>
              <w:pStyle w:val="Table"/>
            </w:pPr>
            <w:r w:rsidRPr="00270F7D">
              <w:t>United Kingdom</w:t>
            </w:r>
          </w:p>
        </w:tc>
        <w:tc>
          <w:tcPr>
            <w:tcW w:w="556" w:type="pct"/>
            <w:tcBorders>
              <w:top w:val="nil"/>
              <w:left w:val="single" w:sz="4" w:space="0" w:color="auto"/>
              <w:bottom w:val="single" w:sz="4" w:space="0" w:color="auto"/>
              <w:right w:val="single" w:sz="4" w:space="0" w:color="auto"/>
            </w:tcBorders>
            <w:shd w:val="clear" w:color="auto" w:fill="auto"/>
            <w:vAlign w:val="bottom"/>
          </w:tcPr>
          <w:p w14:paraId="1CC10DB3" w14:textId="2F416578" w:rsidR="00BF6FDD" w:rsidRPr="00D91798" w:rsidRDefault="00BF6FDD" w:rsidP="00BF6FDD">
            <w:pPr>
              <w:pStyle w:val="Table"/>
            </w:pPr>
            <w:r>
              <w:rPr>
                <w:rFonts w:ascii="Calibri" w:hAnsi="Calibri" w:cs="Calibri"/>
                <w:color w:val="000000"/>
              </w:rPr>
              <w:t>0.4</w:t>
            </w:r>
          </w:p>
        </w:tc>
        <w:tc>
          <w:tcPr>
            <w:tcW w:w="556" w:type="pct"/>
            <w:tcBorders>
              <w:top w:val="nil"/>
              <w:left w:val="nil"/>
              <w:bottom w:val="single" w:sz="4" w:space="0" w:color="auto"/>
              <w:right w:val="single" w:sz="4" w:space="0" w:color="auto"/>
            </w:tcBorders>
            <w:shd w:val="clear" w:color="auto" w:fill="auto"/>
            <w:vAlign w:val="bottom"/>
          </w:tcPr>
          <w:p w14:paraId="35375263" w14:textId="41B93175" w:rsidR="00BF6FDD" w:rsidRPr="00D91798" w:rsidRDefault="00BF6FDD" w:rsidP="00BF6FDD">
            <w:pPr>
              <w:pStyle w:val="Table"/>
            </w:pPr>
            <w:r>
              <w:rPr>
                <w:rFonts w:ascii="Calibri" w:hAnsi="Calibri" w:cs="Calibri"/>
                <w:color w:val="000000"/>
              </w:rPr>
              <w:t>1.1</w:t>
            </w:r>
          </w:p>
        </w:tc>
        <w:tc>
          <w:tcPr>
            <w:tcW w:w="557" w:type="pct"/>
            <w:tcBorders>
              <w:top w:val="nil"/>
              <w:left w:val="nil"/>
              <w:bottom w:val="single" w:sz="4" w:space="0" w:color="auto"/>
              <w:right w:val="single" w:sz="4" w:space="0" w:color="auto"/>
            </w:tcBorders>
            <w:shd w:val="clear" w:color="auto" w:fill="auto"/>
            <w:vAlign w:val="bottom"/>
          </w:tcPr>
          <w:p w14:paraId="266068F2" w14:textId="5CA57939" w:rsidR="00BF6FDD" w:rsidRPr="00D91798" w:rsidRDefault="00BF6FDD" w:rsidP="00BF6FDD">
            <w:pPr>
              <w:pStyle w:val="Table"/>
            </w:pPr>
            <w:r>
              <w:rPr>
                <w:rFonts w:ascii="Calibri" w:hAnsi="Calibri" w:cs="Calibri"/>
                <w:color w:val="000000"/>
              </w:rPr>
              <w:t>1.1</w:t>
            </w:r>
          </w:p>
        </w:tc>
        <w:tc>
          <w:tcPr>
            <w:tcW w:w="556" w:type="pct"/>
            <w:tcBorders>
              <w:top w:val="nil"/>
              <w:left w:val="nil"/>
              <w:bottom w:val="single" w:sz="4" w:space="0" w:color="auto"/>
              <w:right w:val="single" w:sz="4" w:space="0" w:color="auto"/>
            </w:tcBorders>
            <w:shd w:val="clear" w:color="auto" w:fill="auto"/>
            <w:vAlign w:val="bottom"/>
          </w:tcPr>
          <w:p w14:paraId="5BA6E29B" w14:textId="4F42130C" w:rsidR="00BF6FDD" w:rsidRPr="00D91798" w:rsidRDefault="00BF6FDD" w:rsidP="00BF6FDD">
            <w:pPr>
              <w:pStyle w:val="Table"/>
            </w:pPr>
            <w:r>
              <w:rPr>
                <w:rFonts w:ascii="Calibri" w:hAnsi="Calibri" w:cs="Calibri"/>
                <w:color w:val="000000"/>
              </w:rPr>
              <w:t>1.4</w:t>
            </w:r>
          </w:p>
        </w:tc>
        <w:tc>
          <w:tcPr>
            <w:tcW w:w="556" w:type="pct"/>
            <w:tcBorders>
              <w:top w:val="nil"/>
              <w:left w:val="nil"/>
              <w:bottom w:val="single" w:sz="4" w:space="0" w:color="auto"/>
              <w:right w:val="single" w:sz="4" w:space="0" w:color="auto"/>
            </w:tcBorders>
            <w:shd w:val="clear" w:color="auto" w:fill="auto"/>
            <w:vAlign w:val="bottom"/>
          </w:tcPr>
          <w:p w14:paraId="2C503438" w14:textId="4BB3720B" w:rsidR="00BF6FDD" w:rsidRPr="00D91798" w:rsidRDefault="00BF6FDD" w:rsidP="00BF6FDD">
            <w:pPr>
              <w:pStyle w:val="Table"/>
            </w:pPr>
            <w:r>
              <w:rPr>
                <w:rFonts w:ascii="Calibri" w:hAnsi="Calibri" w:cs="Calibri"/>
                <w:color w:val="000000"/>
              </w:rPr>
              <w:t>1.3</w:t>
            </w:r>
          </w:p>
        </w:tc>
        <w:tc>
          <w:tcPr>
            <w:tcW w:w="556" w:type="pct"/>
            <w:tcBorders>
              <w:top w:val="nil"/>
              <w:left w:val="nil"/>
              <w:bottom w:val="single" w:sz="4" w:space="0" w:color="auto"/>
              <w:right w:val="single" w:sz="4" w:space="0" w:color="auto"/>
            </w:tcBorders>
            <w:shd w:val="clear" w:color="auto" w:fill="auto"/>
            <w:vAlign w:val="bottom"/>
          </w:tcPr>
          <w:p w14:paraId="1BF00F01" w14:textId="115EF123" w:rsidR="00BF6FDD" w:rsidRPr="00D91798" w:rsidRDefault="00BF6FDD" w:rsidP="00BF6FDD">
            <w:pPr>
              <w:pStyle w:val="Table"/>
            </w:pPr>
            <w:r>
              <w:rPr>
                <w:rFonts w:ascii="Calibri" w:hAnsi="Calibri" w:cs="Calibri"/>
                <w:color w:val="000000"/>
              </w:rPr>
              <w:t>1.3</w:t>
            </w:r>
          </w:p>
        </w:tc>
        <w:tc>
          <w:tcPr>
            <w:tcW w:w="556" w:type="pct"/>
            <w:tcBorders>
              <w:top w:val="nil"/>
              <w:left w:val="nil"/>
              <w:bottom w:val="single" w:sz="4" w:space="0" w:color="auto"/>
              <w:right w:val="single" w:sz="4" w:space="0" w:color="auto"/>
            </w:tcBorders>
            <w:shd w:val="clear" w:color="auto" w:fill="auto"/>
            <w:vAlign w:val="bottom"/>
          </w:tcPr>
          <w:p w14:paraId="637C57DA" w14:textId="28BD6148" w:rsidR="00BF6FDD" w:rsidRPr="00D91798" w:rsidRDefault="00BF6FDD" w:rsidP="00BF6FDD">
            <w:pPr>
              <w:pStyle w:val="Table"/>
            </w:pPr>
            <w:r>
              <w:rPr>
                <w:rFonts w:ascii="Calibri" w:hAnsi="Calibri" w:cs="Calibri"/>
                <w:color w:val="000000"/>
              </w:rPr>
              <w:t>1.3</w:t>
            </w:r>
          </w:p>
        </w:tc>
      </w:tr>
      <w:tr w:rsidR="00BF6FDD" w:rsidRPr="00D91798" w14:paraId="494FE980" w14:textId="77777777" w:rsidTr="00BF6FDD">
        <w:trPr>
          <w:cantSplit/>
        </w:trPr>
        <w:tc>
          <w:tcPr>
            <w:tcW w:w="1107" w:type="pct"/>
          </w:tcPr>
          <w:p w14:paraId="0D2A7E17" w14:textId="74578DA4" w:rsidR="00BF6FDD" w:rsidRPr="00D91798" w:rsidRDefault="00BF6FDD" w:rsidP="00BF6FDD">
            <w:pPr>
              <w:pStyle w:val="Table"/>
            </w:pPr>
            <w:r w:rsidRPr="00270F7D">
              <w:t>China</w:t>
            </w:r>
          </w:p>
        </w:tc>
        <w:tc>
          <w:tcPr>
            <w:tcW w:w="556" w:type="pct"/>
            <w:tcBorders>
              <w:top w:val="nil"/>
              <w:left w:val="single" w:sz="4" w:space="0" w:color="auto"/>
              <w:bottom w:val="single" w:sz="4" w:space="0" w:color="auto"/>
              <w:right w:val="single" w:sz="4" w:space="0" w:color="auto"/>
            </w:tcBorders>
            <w:shd w:val="clear" w:color="auto" w:fill="auto"/>
            <w:vAlign w:val="bottom"/>
          </w:tcPr>
          <w:p w14:paraId="3233FCC4" w14:textId="1C2ABA49" w:rsidR="00BF6FDD" w:rsidRPr="00D91798" w:rsidRDefault="00BF6FDD" w:rsidP="00BF6FDD">
            <w:pPr>
              <w:pStyle w:val="Table"/>
            </w:pPr>
            <w:r>
              <w:rPr>
                <w:rFonts w:ascii="Calibri" w:hAnsi="Calibri" w:cs="Calibri"/>
                <w:color w:val="000000"/>
              </w:rPr>
              <w:t>5.4</w:t>
            </w:r>
          </w:p>
        </w:tc>
        <w:tc>
          <w:tcPr>
            <w:tcW w:w="556" w:type="pct"/>
            <w:tcBorders>
              <w:top w:val="nil"/>
              <w:left w:val="nil"/>
              <w:bottom w:val="single" w:sz="4" w:space="0" w:color="auto"/>
              <w:right w:val="single" w:sz="4" w:space="0" w:color="auto"/>
            </w:tcBorders>
            <w:shd w:val="clear" w:color="auto" w:fill="auto"/>
            <w:vAlign w:val="bottom"/>
          </w:tcPr>
          <w:p w14:paraId="0F74BED4" w14:textId="6814F88D" w:rsidR="00BF6FDD" w:rsidRPr="00D91798" w:rsidRDefault="00BF6FDD" w:rsidP="00BF6FDD">
            <w:pPr>
              <w:pStyle w:val="Table"/>
            </w:pPr>
            <w:r>
              <w:rPr>
                <w:rFonts w:ascii="Calibri" w:hAnsi="Calibri" w:cs="Calibri"/>
                <w:color w:val="000000"/>
              </w:rPr>
              <w:t>5</w:t>
            </w:r>
          </w:p>
        </w:tc>
        <w:tc>
          <w:tcPr>
            <w:tcW w:w="557" w:type="pct"/>
            <w:tcBorders>
              <w:top w:val="nil"/>
              <w:left w:val="nil"/>
              <w:bottom w:val="single" w:sz="4" w:space="0" w:color="auto"/>
              <w:right w:val="single" w:sz="4" w:space="0" w:color="auto"/>
            </w:tcBorders>
            <w:shd w:val="clear" w:color="auto" w:fill="auto"/>
            <w:vAlign w:val="bottom"/>
          </w:tcPr>
          <w:p w14:paraId="0CC97368" w14:textId="40099E06" w:rsidR="00BF6FDD" w:rsidRPr="00D91798" w:rsidRDefault="00BF6FDD" w:rsidP="00BF6FDD">
            <w:pPr>
              <w:pStyle w:val="Table"/>
            </w:pPr>
            <w:r>
              <w:rPr>
                <w:rFonts w:ascii="Calibri" w:hAnsi="Calibri" w:cs="Calibri"/>
                <w:color w:val="000000"/>
              </w:rPr>
              <w:t>4</w:t>
            </w:r>
          </w:p>
        </w:tc>
        <w:tc>
          <w:tcPr>
            <w:tcW w:w="556" w:type="pct"/>
            <w:tcBorders>
              <w:top w:val="nil"/>
              <w:left w:val="nil"/>
              <w:bottom w:val="single" w:sz="4" w:space="0" w:color="auto"/>
              <w:right w:val="single" w:sz="4" w:space="0" w:color="auto"/>
            </w:tcBorders>
            <w:shd w:val="clear" w:color="auto" w:fill="auto"/>
            <w:vAlign w:val="bottom"/>
          </w:tcPr>
          <w:p w14:paraId="275D0C96" w14:textId="3CE4BDCF" w:rsidR="00BF6FDD" w:rsidRPr="00D91798" w:rsidRDefault="00BF6FDD" w:rsidP="00BF6FDD">
            <w:pPr>
              <w:pStyle w:val="Table"/>
            </w:pPr>
            <w:r>
              <w:rPr>
                <w:rFonts w:ascii="Calibri" w:hAnsi="Calibri" w:cs="Calibri"/>
                <w:color w:val="000000"/>
              </w:rPr>
              <w:t>4</w:t>
            </w:r>
          </w:p>
        </w:tc>
        <w:tc>
          <w:tcPr>
            <w:tcW w:w="556" w:type="pct"/>
            <w:tcBorders>
              <w:top w:val="nil"/>
              <w:left w:val="nil"/>
              <w:bottom w:val="single" w:sz="4" w:space="0" w:color="auto"/>
              <w:right w:val="single" w:sz="4" w:space="0" w:color="auto"/>
            </w:tcBorders>
            <w:shd w:val="clear" w:color="auto" w:fill="auto"/>
            <w:vAlign w:val="bottom"/>
          </w:tcPr>
          <w:p w14:paraId="37B8ABFC" w14:textId="2CE0F456" w:rsidR="00BF6FDD" w:rsidRPr="00D91798" w:rsidRDefault="00BF6FDD" w:rsidP="00BF6FDD">
            <w:pPr>
              <w:pStyle w:val="Table"/>
            </w:pPr>
            <w:r>
              <w:rPr>
                <w:rFonts w:ascii="Calibri" w:hAnsi="Calibri" w:cs="Calibri"/>
                <w:color w:val="000000"/>
              </w:rPr>
              <w:t>4.1</w:t>
            </w:r>
          </w:p>
        </w:tc>
        <w:tc>
          <w:tcPr>
            <w:tcW w:w="556" w:type="pct"/>
            <w:tcBorders>
              <w:top w:val="nil"/>
              <w:left w:val="nil"/>
              <w:bottom w:val="single" w:sz="4" w:space="0" w:color="auto"/>
              <w:right w:val="single" w:sz="4" w:space="0" w:color="auto"/>
            </w:tcBorders>
            <w:shd w:val="clear" w:color="auto" w:fill="auto"/>
            <w:vAlign w:val="bottom"/>
          </w:tcPr>
          <w:p w14:paraId="42AAC60D" w14:textId="1F02396B" w:rsidR="00BF6FDD" w:rsidRPr="00D91798" w:rsidRDefault="00BF6FDD" w:rsidP="00BF6FDD">
            <w:pPr>
              <w:pStyle w:val="Table"/>
            </w:pPr>
            <w:r>
              <w:rPr>
                <w:rFonts w:ascii="Calibri" w:hAnsi="Calibri" w:cs="Calibri"/>
                <w:color w:val="000000"/>
              </w:rPr>
              <w:t>3.9</w:t>
            </w:r>
          </w:p>
        </w:tc>
        <w:tc>
          <w:tcPr>
            <w:tcW w:w="556" w:type="pct"/>
            <w:tcBorders>
              <w:top w:val="nil"/>
              <w:left w:val="nil"/>
              <w:bottom w:val="single" w:sz="4" w:space="0" w:color="auto"/>
              <w:right w:val="single" w:sz="4" w:space="0" w:color="auto"/>
            </w:tcBorders>
            <w:shd w:val="clear" w:color="auto" w:fill="auto"/>
            <w:vAlign w:val="bottom"/>
          </w:tcPr>
          <w:p w14:paraId="2C7CC2F5" w14:textId="40FA9ED1" w:rsidR="00BF6FDD" w:rsidRPr="00D91798" w:rsidRDefault="00BF6FDD" w:rsidP="00BF6FDD">
            <w:pPr>
              <w:pStyle w:val="Table"/>
            </w:pPr>
            <w:r>
              <w:rPr>
                <w:rFonts w:ascii="Calibri" w:hAnsi="Calibri" w:cs="Calibri"/>
                <w:color w:val="000000"/>
              </w:rPr>
              <w:t>3.7</w:t>
            </w:r>
          </w:p>
        </w:tc>
      </w:tr>
      <w:tr w:rsidR="00BF6FDD" w:rsidRPr="00D91798" w14:paraId="4A269ABA" w14:textId="77777777" w:rsidTr="00BF6FDD">
        <w:trPr>
          <w:cantSplit/>
        </w:trPr>
        <w:tc>
          <w:tcPr>
            <w:tcW w:w="1107" w:type="pct"/>
          </w:tcPr>
          <w:p w14:paraId="637A2E43" w14:textId="5DE1D3C0" w:rsidR="00BF6FDD" w:rsidRPr="00D91798" w:rsidRDefault="00BF6FDD" w:rsidP="00BF6FDD">
            <w:pPr>
              <w:pStyle w:val="Table"/>
            </w:pPr>
            <w:r w:rsidRPr="00270F7D">
              <w:t>Ghana</w:t>
            </w:r>
          </w:p>
        </w:tc>
        <w:tc>
          <w:tcPr>
            <w:tcW w:w="556" w:type="pct"/>
            <w:tcBorders>
              <w:top w:val="nil"/>
              <w:left w:val="single" w:sz="4" w:space="0" w:color="auto"/>
              <w:bottom w:val="single" w:sz="4" w:space="0" w:color="auto"/>
              <w:right w:val="single" w:sz="4" w:space="0" w:color="auto"/>
            </w:tcBorders>
            <w:shd w:val="clear" w:color="auto" w:fill="auto"/>
            <w:vAlign w:val="bottom"/>
          </w:tcPr>
          <w:p w14:paraId="614DB2FA" w14:textId="75E43F4B" w:rsidR="00BF6FDD" w:rsidRPr="00D91798" w:rsidRDefault="00BF6FDD" w:rsidP="00BF6FDD">
            <w:pPr>
              <w:pStyle w:val="Table"/>
            </w:pPr>
            <w:r>
              <w:rPr>
                <w:rFonts w:ascii="Calibri" w:hAnsi="Calibri" w:cs="Calibri"/>
                <w:color w:val="000000"/>
              </w:rPr>
              <w:t>3.1</w:t>
            </w:r>
          </w:p>
        </w:tc>
        <w:tc>
          <w:tcPr>
            <w:tcW w:w="556" w:type="pct"/>
            <w:tcBorders>
              <w:top w:val="nil"/>
              <w:left w:val="nil"/>
              <w:bottom w:val="single" w:sz="4" w:space="0" w:color="auto"/>
              <w:right w:val="single" w:sz="4" w:space="0" w:color="auto"/>
            </w:tcBorders>
            <w:shd w:val="clear" w:color="auto" w:fill="auto"/>
            <w:vAlign w:val="bottom"/>
          </w:tcPr>
          <w:p w14:paraId="7CD81D93" w14:textId="20ACC25A" w:rsidR="00BF6FDD" w:rsidRPr="00D91798" w:rsidRDefault="00BF6FDD" w:rsidP="00BF6FDD">
            <w:pPr>
              <w:pStyle w:val="Table"/>
            </w:pPr>
            <w:r>
              <w:rPr>
                <w:rFonts w:ascii="Calibri" w:hAnsi="Calibri" w:cs="Calibri"/>
                <w:color w:val="000000"/>
              </w:rPr>
              <w:t>5.7</w:t>
            </w:r>
          </w:p>
        </w:tc>
        <w:tc>
          <w:tcPr>
            <w:tcW w:w="557" w:type="pct"/>
            <w:tcBorders>
              <w:top w:val="nil"/>
              <w:left w:val="nil"/>
              <w:bottom w:val="single" w:sz="4" w:space="0" w:color="auto"/>
              <w:right w:val="single" w:sz="4" w:space="0" w:color="auto"/>
            </w:tcBorders>
            <w:shd w:val="clear" w:color="auto" w:fill="auto"/>
            <w:vAlign w:val="bottom"/>
          </w:tcPr>
          <w:p w14:paraId="09F37ACE" w14:textId="479DCB45" w:rsidR="00BF6FDD" w:rsidRPr="00D91798" w:rsidRDefault="00BF6FDD" w:rsidP="00BF6FDD">
            <w:pPr>
              <w:pStyle w:val="Table"/>
            </w:pPr>
            <w:r>
              <w:rPr>
                <w:rFonts w:ascii="Calibri" w:hAnsi="Calibri" w:cs="Calibri"/>
                <w:color w:val="000000"/>
              </w:rPr>
              <w:t>4</w:t>
            </w:r>
          </w:p>
        </w:tc>
        <w:tc>
          <w:tcPr>
            <w:tcW w:w="556" w:type="pct"/>
            <w:tcBorders>
              <w:top w:val="nil"/>
              <w:left w:val="nil"/>
              <w:bottom w:val="single" w:sz="4" w:space="0" w:color="auto"/>
              <w:right w:val="single" w:sz="4" w:space="0" w:color="auto"/>
            </w:tcBorders>
            <w:shd w:val="clear" w:color="auto" w:fill="auto"/>
            <w:vAlign w:val="bottom"/>
          </w:tcPr>
          <w:p w14:paraId="5CBAE19D" w14:textId="1093DF12" w:rsidR="00BF6FDD" w:rsidRPr="00D91798" w:rsidRDefault="00BF6FDD" w:rsidP="00BF6FDD">
            <w:pPr>
              <w:pStyle w:val="Table"/>
            </w:pPr>
            <w:r>
              <w:rPr>
                <w:rFonts w:ascii="Calibri" w:hAnsi="Calibri" w:cs="Calibri"/>
                <w:color w:val="000000"/>
              </w:rPr>
              <w:t>4.8</w:t>
            </w:r>
          </w:p>
        </w:tc>
        <w:tc>
          <w:tcPr>
            <w:tcW w:w="556" w:type="pct"/>
            <w:tcBorders>
              <w:top w:val="nil"/>
              <w:left w:val="nil"/>
              <w:bottom w:val="single" w:sz="4" w:space="0" w:color="auto"/>
              <w:right w:val="single" w:sz="4" w:space="0" w:color="auto"/>
            </w:tcBorders>
            <w:shd w:val="clear" w:color="auto" w:fill="auto"/>
            <w:vAlign w:val="bottom"/>
          </w:tcPr>
          <w:p w14:paraId="086E2765" w14:textId="4B949875" w:rsidR="00BF6FDD" w:rsidRPr="00D91798" w:rsidRDefault="00BF6FDD" w:rsidP="00BF6FDD">
            <w:pPr>
              <w:pStyle w:val="Table"/>
            </w:pPr>
            <w:r>
              <w:rPr>
                <w:rFonts w:ascii="Calibri" w:hAnsi="Calibri" w:cs="Calibri"/>
                <w:color w:val="000000"/>
              </w:rPr>
              <w:t>4.9</w:t>
            </w:r>
          </w:p>
        </w:tc>
        <w:tc>
          <w:tcPr>
            <w:tcW w:w="556" w:type="pct"/>
            <w:tcBorders>
              <w:top w:val="nil"/>
              <w:left w:val="nil"/>
              <w:bottom w:val="single" w:sz="4" w:space="0" w:color="auto"/>
              <w:right w:val="single" w:sz="4" w:space="0" w:color="auto"/>
            </w:tcBorders>
            <w:shd w:val="clear" w:color="auto" w:fill="auto"/>
            <w:vAlign w:val="bottom"/>
          </w:tcPr>
          <w:p w14:paraId="04E9FBA0" w14:textId="6D78BDC8" w:rsidR="00BF6FDD" w:rsidRPr="00D91798" w:rsidRDefault="00BF6FDD" w:rsidP="00BF6FDD">
            <w:pPr>
              <w:pStyle w:val="Table"/>
            </w:pPr>
            <w:r>
              <w:rPr>
                <w:rFonts w:ascii="Calibri" w:hAnsi="Calibri" w:cs="Calibri"/>
                <w:color w:val="000000"/>
              </w:rPr>
              <w:t>4.9</w:t>
            </w:r>
          </w:p>
        </w:tc>
        <w:tc>
          <w:tcPr>
            <w:tcW w:w="556" w:type="pct"/>
            <w:tcBorders>
              <w:top w:val="nil"/>
              <w:left w:val="nil"/>
              <w:bottom w:val="single" w:sz="4" w:space="0" w:color="auto"/>
              <w:right w:val="single" w:sz="4" w:space="0" w:color="auto"/>
            </w:tcBorders>
            <w:shd w:val="clear" w:color="auto" w:fill="auto"/>
            <w:vAlign w:val="bottom"/>
          </w:tcPr>
          <w:p w14:paraId="1F66E9DE" w14:textId="73FAF1BC" w:rsidR="00BF6FDD" w:rsidRPr="00D91798" w:rsidRDefault="00BF6FDD" w:rsidP="00BF6FDD">
            <w:pPr>
              <w:pStyle w:val="Table"/>
            </w:pPr>
            <w:r>
              <w:rPr>
                <w:rFonts w:ascii="Calibri" w:hAnsi="Calibri" w:cs="Calibri"/>
                <w:color w:val="000000"/>
              </w:rPr>
              <w:t>4.9</w:t>
            </w:r>
          </w:p>
        </w:tc>
      </w:tr>
      <w:tr w:rsidR="00BF6FDD" w:rsidRPr="00D91798" w14:paraId="007ED782" w14:textId="77777777" w:rsidTr="00BF6FDD">
        <w:trPr>
          <w:cantSplit/>
        </w:trPr>
        <w:tc>
          <w:tcPr>
            <w:tcW w:w="1107" w:type="pct"/>
          </w:tcPr>
          <w:p w14:paraId="51C68BBC" w14:textId="3B855161" w:rsidR="00BF6FDD" w:rsidRPr="00D91798" w:rsidRDefault="00BF6FDD" w:rsidP="00BF6FDD">
            <w:pPr>
              <w:pStyle w:val="Table"/>
            </w:pPr>
            <w:r w:rsidRPr="00270F7D">
              <w:t>South Africa</w:t>
            </w:r>
          </w:p>
        </w:tc>
        <w:tc>
          <w:tcPr>
            <w:tcW w:w="556" w:type="pct"/>
            <w:tcBorders>
              <w:top w:val="nil"/>
              <w:left w:val="single" w:sz="4" w:space="0" w:color="auto"/>
              <w:bottom w:val="single" w:sz="4" w:space="0" w:color="auto"/>
              <w:right w:val="single" w:sz="4" w:space="0" w:color="auto"/>
            </w:tcBorders>
            <w:shd w:val="clear" w:color="auto" w:fill="auto"/>
            <w:vAlign w:val="bottom"/>
          </w:tcPr>
          <w:p w14:paraId="48EB7C25" w14:textId="35977798" w:rsidR="00BF6FDD" w:rsidRPr="00D91798" w:rsidRDefault="00BF6FDD" w:rsidP="00BF6FDD">
            <w:pPr>
              <w:pStyle w:val="Table"/>
            </w:pPr>
            <w:r>
              <w:rPr>
                <w:rFonts w:ascii="Calibri" w:hAnsi="Calibri" w:cs="Calibri"/>
                <w:color w:val="000000"/>
              </w:rPr>
              <w:t>0.7</w:t>
            </w:r>
          </w:p>
        </w:tc>
        <w:tc>
          <w:tcPr>
            <w:tcW w:w="556" w:type="pct"/>
            <w:tcBorders>
              <w:top w:val="nil"/>
              <w:left w:val="nil"/>
              <w:bottom w:val="single" w:sz="4" w:space="0" w:color="auto"/>
              <w:right w:val="single" w:sz="4" w:space="0" w:color="auto"/>
            </w:tcBorders>
            <w:shd w:val="clear" w:color="auto" w:fill="auto"/>
            <w:vAlign w:val="bottom"/>
          </w:tcPr>
          <w:p w14:paraId="0D0670E9" w14:textId="6FA58904" w:rsidR="00BF6FDD" w:rsidRPr="00D91798" w:rsidRDefault="00BF6FDD" w:rsidP="00BF6FDD">
            <w:pPr>
              <w:pStyle w:val="Table"/>
            </w:pPr>
            <w:r>
              <w:rPr>
                <w:rFonts w:ascii="Calibri" w:hAnsi="Calibri" w:cs="Calibri"/>
                <w:color w:val="000000"/>
              </w:rPr>
              <w:t>0.6</w:t>
            </w:r>
          </w:p>
        </w:tc>
        <w:tc>
          <w:tcPr>
            <w:tcW w:w="557" w:type="pct"/>
            <w:tcBorders>
              <w:top w:val="nil"/>
              <w:left w:val="nil"/>
              <w:bottom w:val="single" w:sz="4" w:space="0" w:color="auto"/>
              <w:right w:val="single" w:sz="4" w:space="0" w:color="auto"/>
            </w:tcBorders>
            <w:shd w:val="clear" w:color="auto" w:fill="auto"/>
            <w:vAlign w:val="bottom"/>
          </w:tcPr>
          <w:p w14:paraId="4B264979" w14:textId="092C6D51" w:rsidR="00BF6FDD" w:rsidRPr="00D91798" w:rsidRDefault="00BF6FDD" w:rsidP="00BF6FDD">
            <w:pPr>
              <w:pStyle w:val="Table"/>
            </w:pPr>
            <w:r>
              <w:rPr>
                <w:rFonts w:ascii="Calibri" w:hAnsi="Calibri" w:cs="Calibri"/>
                <w:color w:val="000000"/>
              </w:rPr>
              <w:t>1</w:t>
            </w:r>
          </w:p>
        </w:tc>
        <w:tc>
          <w:tcPr>
            <w:tcW w:w="556" w:type="pct"/>
            <w:tcBorders>
              <w:top w:val="nil"/>
              <w:left w:val="nil"/>
              <w:bottom w:val="single" w:sz="4" w:space="0" w:color="auto"/>
              <w:right w:val="single" w:sz="4" w:space="0" w:color="auto"/>
            </w:tcBorders>
            <w:shd w:val="clear" w:color="auto" w:fill="auto"/>
            <w:vAlign w:val="bottom"/>
          </w:tcPr>
          <w:p w14:paraId="16DD94F4" w14:textId="77D21163" w:rsidR="00BF6FDD" w:rsidRPr="00D91798" w:rsidRDefault="00BF6FDD" w:rsidP="00BF6FDD">
            <w:pPr>
              <w:pStyle w:val="Table"/>
            </w:pPr>
            <w:r>
              <w:rPr>
                <w:rFonts w:ascii="Calibri" w:hAnsi="Calibri" w:cs="Calibri"/>
                <w:color w:val="000000"/>
              </w:rPr>
              <w:t>1.3</w:t>
            </w:r>
          </w:p>
        </w:tc>
        <w:tc>
          <w:tcPr>
            <w:tcW w:w="556" w:type="pct"/>
            <w:tcBorders>
              <w:top w:val="nil"/>
              <w:left w:val="nil"/>
              <w:bottom w:val="single" w:sz="4" w:space="0" w:color="auto"/>
              <w:right w:val="single" w:sz="4" w:space="0" w:color="auto"/>
            </w:tcBorders>
            <w:shd w:val="clear" w:color="auto" w:fill="auto"/>
            <w:vAlign w:val="bottom"/>
          </w:tcPr>
          <w:p w14:paraId="4DA820FE" w14:textId="6DB88E3A" w:rsidR="00BF6FDD" w:rsidRPr="00D91798" w:rsidRDefault="00BF6FDD" w:rsidP="00BF6FDD">
            <w:pPr>
              <w:pStyle w:val="Table"/>
            </w:pPr>
            <w:r>
              <w:rPr>
                <w:rFonts w:ascii="Calibri" w:hAnsi="Calibri" w:cs="Calibri"/>
                <w:color w:val="000000"/>
              </w:rPr>
              <w:t>1.3</w:t>
            </w:r>
          </w:p>
        </w:tc>
        <w:tc>
          <w:tcPr>
            <w:tcW w:w="556" w:type="pct"/>
            <w:tcBorders>
              <w:top w:val="nil"/>
              <w:left w:val="nil"/>
              <w:bottom w:val="single" w:sz="4" w:space="0" w:color="auto"/>
              <w:right w:val="single" w:sz="4" w:space="0" w:color="auto"/>
            </w:tcBorders>
            <w:shd w:val="clear" w:color="auto" w:fill="auto"/>
            <w:vAlign w:val="bottom"/>
          </w:tcPr>
          <w:p w14:paraId="46068DA2" w14:textId="01C2C85A" w:rsidR="00BF6FDD" w:rsidRPr="00D91798" w:rsidRDefault="00BF6FDD" w:rsidP="00BF6FDD">
            <w:pPr>
              <w:pStyle w:val="Table"/>
            </w:pPr>
            <w:r>
              <w:rPr>
                <w:rFonts w:ascii="Calibri" w:hAnsi="Calibri" w:cs="Calibri"/>
                <w:color w:val="000000"/>
              </w:rPr>
              <w:t>1.4</w:t>
            </w:r>
          </w:p>
        </w:tc>
        <w:tc>
          <w:tcPr>
            <w:tcW w:w="556" w:type="pct"/>
            <w:tcBorders>
              <w:top w:val="nil"/>
              <w:left w:val="nil"/>
              <w:bottom w:val="single" w:sz="4" w:space="0" w:color="auto"/>
              <w:right w:val="single" w:sz="4" w:space="0" w:color="auto"/>
            </w:tcBorders>
            <w:shd w:val="clear" w:color="auto" w:fill="auto"/>
            <w:vAlign w:val="bottom"/>
          </w:tcPr>
          <w:p w14:paraId="04746622" w14:textId="3EA6FDA6" w:rsidR="00BF6FDD" w:rsidRPr="00D91798" w:rsidRDefault="00BF6FDD" w:rsidP="00BF6FDD">
            <w:pPr>
              <w:pStyle w:val="Table"/>
            </w:pPr>
            <w:r>
              <w:rPr>
                <w:rFonts w:ascii="Calibri" w:hAnsi="Calibri" w:cs="Calibri"/>
                <w:color w:val="000000"/>
              </w:rPr>
              <w:t>1.5</w:t>
            </w:r>
          </w:p>
        </w:tc>
      </w:tr>
      <w:tr w:rsidR="00BF6FDD" w:rsidRPr="00D91798" w14:paraId="306C5607" w14:textId="77777777" w:rsidTr="00BF6FDD">
        <w:trPr>
          <w:cantSplit/>
        </w:trPr>
        <w:tc>
          <w:tcPr>
            <w:tcW w:w="1107" w:type="pct"/>
          </w:tcPr>
          <w:p w14:paraId="6B3F3188" w14:textId="048FCDE9" w:rsidR="00BF6FDD" w:rsidRPr="00D91798" w:rsidRDefault="00BF6FDD" w:rsidP="00BF6FDD">
            <w:pPr>
              <w:pStyle w:val="Table"/>
            </w:pPr>
            <w:r w:rsidRPr="00270F7D">
              <w:t>Brazil</w:t>
            </w:r>
          </w:p>
        </w:tc>
        <w:tc>
          <w:tcPr>
            <w:tcW w:w="556" w:type="pct"/>
            <w:tcBorders>
              <w:top w:val="nil"/>
              <w:left w:val="single" w:sz="4" w:space="0" w:color="auto"/>
              <w:bottom w:val="single" w:sz="4" w:space="0" w:color="auto"/>
              <w:right w:val="single" w:sz="4" w:space="0" w:color="auto"/>
            </w:tcBorders>
            <w:shd w:val="clear" w:color="auto" w:fill="auto"/>
            <w:vAlign w:val="bottom"/>
          </w:tcPr>
          <w:p w14:paraId="725C1C53" w14:textId="4FC4030B" w:rsidR="00BF6FDD" w:rsidRPr="00D91798" w:rsidRDefault="00BF6FDD" w:rsidP="00BF6FDD">
            <w:pPr>
              <w:pStyle w:val="Table"/>
            </w:pPr>
            <w:r>
              <w:rPr>
                <w:rFonts w:ascii="Calibri" w:hAnsi="Calibri" w:cs="Calibri"/>
                <w:color w:val="000000"/>
              </w:rPr>
              <w:t>3.2</w:t>
            </w:r>
          </w:p>
        </w:tc>
        <w:tc>
          <w:tcPr>
            <w:tcW w:w="556" w:type="pct"/>
            <w:tcBorders>
              <w:top w:val="nil"/>
              <w:left w:val="nil"/>
              <w:bottom w:val="single" w:sz="4" w:space="0" w:color="auto"/>
              <w:right w:val="single" w:sz="4" w:space="0" w:color="auto"/>
            </w:tcBorders>
            <w:shd w:val="clear" w:color="auto" w:fill="auto"/>
            <w:vAlign w:val="bottom"/>
          </w:tcPr>
          <w:p w14:paraId="52B787F9" w14:textId="294EAE17" w:rsidR="00BF6FDD" w:rsidRPr="00D91798" w:rsidRDefault="00BF6FDD" w:rsidP="00BF6FDD">
            <w:pPr>
              <w:pStyle w:val="Table"/>
            </w:pPr>
            <w:r>
              <w:rPr>
                <w:rFonts w:ascii="Calibri" w:hAnsi="Calibri" w:cs="Calibri"/>
                <w:color w:val="000000"/>
              </w:rPr>
              <w:t>3.4</w:t>
            </w:r>
          </w:p>
        </w:tc>
        <w:tc>
          <w:tcPr>
            <w:tcW w:w="557" w:type="pct"/>
            <w:tcBorders>
              <w:top w:val="nil"/>
              <w:left w:val="nil"/>
              <w:bottom w:val="single" w:sz="4" w:space="0" w:color="auto"/>
              <w:right w:val="single" w:sz="4" w:space="0" w:color="auto"/>
            </w:tcBorders>
            <w:shd w:val="clear" w:color="auto" w:fill="auto"/>
            <w:vAlign w:val="bottom"/>
          </w:tcPr>
          <w:p w14:paraId="65E843FB" w14:textId="2FBBA9E9" w:rsidR="00BF6FDD" w:rsidRPr="00D91798" w:rsidRDefault="00BF6FDD" w:rsidP="00BF6FDD">
            <w:pPr>
              <w:pStyle w:val="Table"/>
            </w:pPr>
            <w:r>
              <w:rPr>
                <w:rFonts w:ascii="Calibri" w:hAnsi="Calibri" w:cs="Calibri"/>
                <w:color w:val="000000"/>
              </w:rPr>
              <w:t>2</w:t>
            </w:r>
          </w:p>
        </w:tc>
        <w:tc>
          <w:tcPr>
            <w:tcW w:w="556" w:type="pct"/>
            <w:tcBorders>
              <w:top w:val="nil"/>
              <w:left w:val="nil"/>
              <w:bottom w:val="single" w:sz="4" w:space="0" w:color="auto"/>
              <w:right w:val="single" w:sz="4" w:space="0" w:color="auto"/>
            </w:tcBorders>
            <w:shd w:val="clear" w:color="auto" w:fill="auto"/>
            <w:vAlign w:val="bottom"/>
          </w:tcPr>
          <w:p w14:paraId="1A84DCF0" w14:textId="2D8C244B" w:rsidR="00BF6FDD" w:rsidRPr="00D91798" w:rsidRDefault="00BF6FDD" w:rsidP="00BF6FDD">
            <w:pPr>
              <w:pStyle w:val="Table"/>
            </w:pPr>
            <w:r>
              <w:rPr>
                <w:rFonts w:ascii="Calibri" w:hAnsi="Calibri" w:cs="Calibri"/>
                <w:color w:val="000000"/>
              </w:rPr>
              <w:t>2</w:t>
            </w:r>
          </w:p>
        </w:tc>
        <w:tc>
          <w:tcPr>
            <w:tcW w:w="556" w:type="pct"/>
            <w:tcBorders>
              <w:top w:val="nil"/>
              <w:left w:val="nil"/>
              <w:bottom w:val="single" w:sz="4" w:space="0" w:color="auto"/>
              <w:right w:val="single" w:sz="4" w:space="0" w:color="auto"/>
            </w:tcBorders>
            <w:shd w:val="clear" w:color="auto" w:fill="auto"/>
            <w:vAlign w:val="bottom"/>
          </w:tcPr>
          <w:p w14:paraId="761C941D" w14:textId="18616480" w:rsidR="00BF6FDD" w:rsidRPr="00D91798" w:rsidRDefault="00BF6FDD" w:rsidP="00BF6FDD">
            <w:pPr>
              <w:pStyle w:val="Table"/>
            </w:pPr>
            <w:r>
              <w:rPr>
                <w:rFonts w:ascii="Calibri" w:hAnsi="Calibri" w:cs="Calibri"/>
                <w:color w:val="000000"/>
              </w:rPr>
              <w:t>2.2</w:t>
            </w:r>
          </w:p>
        </w:tc>
        <w:tc>
          <w:tcPr>
            <w:tcW w:w="556" w:type="pct"/>
            <w:tcBorders>
              <w:top w:val="nil"/>
              <w:left w:val="nil"/>
              <w:bottom w:val="single" w:sz="4" w:space="0" w:color="auto"/>
              <w:right w:val="single" w:sz="4" w:space="0" w:color="auto"/>
            </w:tcBorders>
            <w:shd w:val="clear" w:color="auto" w:fill="auto"/>
            <w:vAlign w:val="bottom"/>
          </w:tcPr>
          <w:p w14:paraId="416B0DD4" w14:textId="58EB8451" w:rsidR="00BF6FDD" w:rsidRPr="00D91798" w:rsidRDefault="00BF6FDD" w:rsidP="00BF6FDD">
            <w:pPr>
              <w:pStyle w:val="Table"/>
            </w:pPr>
            <w:r>
              <w:rPr>
                <w:rFonts w:ascii="Calibri" w:hAnsi="Calibri" w:cs="Calibri"/>
                <w:color w:val="000000"/>
              </w:rPr>
              <w:t>2.1</w:t>
            </w:r>
          </w:p>
        </w:tc>
        <w:tc>
          <w:tcPr>
            <w:tcW w:w="556" w:type="pct"/>
            <w:tcBorders>
              <w:top w:val="nil"/>
              <w:left w:val="nil"/>
              <w:bottom w:val="single" w:sz="4" w:space="0" w:color="auto"/>
              <w:right w:val="single" w:sz="4" w:space="0" w:color="auto"/>
            </w:tcBorders>
            <w:shd w:val="clear" w:color="auto" w:fill="auto"/>
            <w:vAlign w:val="bottom"/>
          </w:tcPr>
          <w:p w14:paraId="42FE4A11" w14:textId="5A16E155" w:rsidR="00BF6FDD" w:rsidRPr="00D91798" w:rsidRDefault="00BF6FDD" w:rsidP="00BF6FDD">
            <w:pPr>
              <w:pStyle w:val="Table"/>
            </w:pPr>
            <w:r>
              <w:rPr>
                <w:rFonts w:ascii="Calibri" w:hAnsi="Calibri" w:cs="Calibri"/>
                <w:color w:val="000000"/>
              </w:rPr>
              <w:t>2.1</w:t>
            </w:r>
          </w:p>
        </w:tc>
      </w:tr>
      <w:tr w:rsidR="00BF6FDD" w:rsidRPr="00D91798" w14:paraId="481138C5" w14:textId="77777777" w:rsidTr="00BF6FDD">
        <w:trPr>
          <w:cantSplit/>
        </w:trPr>
        <w:tc>
          <w:tcPr>
            <w:tcW w:w="1107" w:type="pct"/>
          </w:tcPr>
          <w:p w14:paraId="2E8A6336" w14:textId="5267D511" w:rsidR="00BF6FDD" w:rsidRPr="00270F7D" w:rsidRDefault="00BF6FDD" w:rsidP="00BF6FDD">
            <w:pPr>
              <w:pStyle w:val="Table"/>
            </w:pPr>
            <w:r>
              <w:t>Angola</w:t>
            </w:r>
          </w:p>
        </w:tc>
        <w:tc>
          <w:tcPr>
            <w:tcW w:w="556" w:type="pct"/>
            <w:tcBorders>
              <w:top w:val="nil"/>
              <w:left w:val="single" w:sz="4" w:space="0" w:color="auto"/>
              <w:bottom w:val="single" w:sz="4" w:space="0" w:color="auto"/>
              <w:right w:val="single" w:sz="4" w:space="0" w:color="auto"/>
            </w:tcBorders>
            <w:shd w:val="clear" w:color="auto" w:fill="auto"/>
            <w:vAlign w:val="bottom"/>
          </w:tcPr>
          <w:p w14:paraId="0E0CDC06" w14:textId="43159A1D" w:rsidR="00BF6FDD" w:rsidRDefault="00BF6FDD" w:rsidP="00BF6FDD">
            <w:pPr>
              <w:pStyle w:val="Table"/>
            </w:pPr>
            <w:r>
              <w:rPr>
                <w:rFonts w:ascii="Calibri" w:hAnsi="Calibri" w:cs="Calibri"/>
                <w:color w:val="000000"/>
              </w:rPr>
              <w:t>1</w:t>
            </w:r>
          </w:p>
        </w:tc>
        <w:tc>
          <w:tcPr>
            <w:tcW w:w="556" w:type="pct"/>
            <w:tcBorders>
              <w:top w:val="nil"/>
              <w:left w:val="nil"/>
              <w:bottom w:val="single" w:sz="4" w:space="0" w:color="auto"/>
              <w:right w:val="single" w:sz="4" w:space="0" w:color="auto"/>
            </w:tcBorders>
            <w:shd w:val="clear" w:color="auto" w:fill="auto"/>
            <w:vAlign w:val="bottom"/>
          </w:tcPr>
          <w:p w14:paraId="1E6177A5" w14:textId="02294BA8" w:rsidR="00BF6FDD" w:rsidRDefault="00BF6FDD" w:rsidP="00BF6FDD">
            <w:pPr>
              <w:pStyle w:val="Table"/>
            </w:pPr>
            <w:r>
              <w:rPr>
                <w:rFonts w:ascii="Calibri" w:hAnsi="Calibri" w:cs="Calibri"/>
                <w:color w:val="000000"/>
              </w:rPr>
              <w:t>4.5</w:t>
            </w:r>
          </w:p>
        </w:tc>
        <w:tc>
          <w:tcPr>
            <w:tcW w:w="557" w:type="pct"/>
            <w:tcBorders>
              <w:top w:val="nil"/>
              <w:left w:val="nil"/>
              <w:bottom w:val="single" w:sz="4" w:space="0" w:color="auto"/>
              <w:right w:val="single" w:sz="4" w:space="0" w:color="auto"/>
            </w:tcBorders>
            <w:shd w:val="clear" w:color="auto" w:fill="auto"/>
            <w:vAlign w:val="bottom"/>
          </w:tcPr>
          <w:p w14:paraId="1C37C7E4" w14:textId="386F6C9D" w:rsidR="00BF6FDD" w:rsidRDefault="00BF6FDD" w:rsidP="00BF6FDD">
            <w:pPr>
              <w:pStyle w:val="Table"/>
            </w:pPr>
            <w:r>
              <w:rPr>
                <w:rFonts w:ascii="Calibri" w:hAnsi="Calibri" w:cs="Calibri"/>
                <w:color w:val="000000"/>
              </w:rPr>
              <w:t>2.4</w:t>
            </w:r>
          </w:p>
        </w:tc>
        <w:tc>
          <w:tcPr>
            <w:tcW w:w="556" w:type="pct"/>
            <w:tcBorders>
              <w:top w:val="nil"/>
              <w:left w:val="nil"/>
              <w:bottom w:val="single" w:sz="4" w:space="0" w:color="auto"/>
              <w:right w:val="single" w:sz="4" w:space="0" w:color="auto"/>
            </w:tcBorders>
            <w:shd w:val="clear" w:color="auto" w:fill="auto"/>
            <w:vAlign w:val="bottom"/>
          </w:tcPr>
          <w:p w14:paraId="22FC2C3A" w14:textId="009DF86A" w:rsidR="00BF6FDD" w:rsidRDefault="00BF6FDD" w:rsidP="00BF6FDD">
            <w:pPr>
              <w:pStyle w:val="Table"/>
            </w:pPr>
            <w:r>
              <w:rPr>
                <w:rFonts w:ascii="Calibri" w:hAnsi="Calibri" w:cs="Calibri"/>
                <w:color w:val="000000"/>
              </w:rPr>
              <w:t>2.1</w:t>
            </w:r>
          </w:p>
        </w:tc>
        <w:tc>
          <w:tcPr>
            <w:tcW w:w="556" w:type="pct"/>
            <w:tcBorders>
              <w:top w:val="nil"/>
              <w:left w:val="nil"/>
              <w:bottom w:val="single" w:sz="4" w:space="0" w:color="auto"/>
              <w:right w:val="single" w:sz="4" w:space="0" w:color="auto"/>
            </w:tcBorders>
            <w:shd w:val="clear" w:color="auto" w:fill="auto"/>
            <w:vAlign w:val="bottom"/>
          </w:tcPr>
          <w:p w14:paraId="3F3981F7" w14:textId="56B2CFA4" w:rsidR="00BF6FDD" w:rsidRDefault="00BF6FDD" w:rsidP="00BF6FDD">
            <w:pPr>
              <w:pStyle w:val="Table"/>
            </w:pPr>
            <w:r>
              <w:rPr>
                <w:rFonts w:ascii="Calibri" w:hAnsi="Calibri" w:cs="Calibri"/>
                <w:color w:val="000000"/>
              </w:rPr>
              <w:t>2.6</w:t>
            </w:r>
          </w:p>
        </w:tc>
        <w:tc>
          <w:tcPr>
            <w:tcW w:w="556" w:type="pct"/>
            <w:tcBorders>
              <w:top w:val="nil"/>
              <w:left w:val="nil"/>
              <w:bottom w:val="single" w:sz="4" w:space="0" w:color="auto"/>
              <w:right w:val="single" w:sz="4" w:space="0" w:color="auto"/>
            </w:tcBorders>
            <w:shd w:val="clear" w:color="auto" w:fill="auto"/>
            <w:vAlign w:val="bottom"/>
          </w:tcPr>
          <w:p w14:paraId="1C3BB2DB" w14:textId="0ECCDB82" w:rsidR="00BF6FDD" w:rsidRDefault="00BF6FDD" w:rsidP="00BF6FDD">
            <w:pPr>
              <w:pStyle w:val="Table"/>
            </w:pPr>
            <w:r>
              <w:rPr>
                <w:rFonts w:ascii="Calibri" w:hAnsi="Calibri" w:cs="Calibri"/>
                <w:color w:val="000000"/>
              </w:rPr>
              <w:t>2.8</w:t>
            </w:r>
          </w:p>
        </w:tc>
        <w:tc>
          <w:tcPr>
            <w:tcW w:w="556" w:type="pct"/>
            <w:tcBorders>
              <w:top w:val="nil"/>
              <w:left w:val="nil"/>
              <w:bottom w:val="single" w:sz="4" w:space="0" w:color="auto"/>
              <w:right w:val="single" w:sz="4" w:space="0" w:color="auto"/>
            </w:tcBorders>
            <w:shd w:val="clear" w:color="auto" w:fill="auto"/>
            <w:vAlign w:val="bottom"/>
          </w:tcPr>
          <w:p w14:paraId="39493208" w14:textId="7F64265A" w:rsidR="00BF6FDD" w:rsidRDefault="00BF6FDD" w:rsidP="00BF6FDD">
            <w:pPr>
              <w:pStyle w:val="Table"/>
            </w:pPr>
            <w:r>
              <w:rPr>
                <w:rFonts w:ascii="Calibri" w:hAnsi="Calibri" w:cs="Calibri"/>
                <w:color w:val="000000"/>
              </w:rPr>
              <w:t>3</w:t>
            </w:r>
          </w:p>
        </w:tc>
      </w:tr>
      <w:tr w:rsidR="00BF6FDD" w:rsidRPr="00D91798" w14:paraId="23D9A314" w14:textId="77777777" w:rsidTr="00BF6FDD">
        <w:trPr>
          <w:cantSplit/>
        </w:trPr>
        <w:tc>
          <w:tcPr>
            <w:tcW w:w="1107" w:type="pct"/>
          </w:tcPr>
          <w:p w14:paraId="2AADDFD7" w14:textId="76299DD6" w:rsidR="00BF6FDD" w:rsidRDefault="00BF6FDD" w:rsidP="00BF6FDD">
            <w:pPr>
              <w:pStyle w:val="Table"/>
            </w:pPr>
            <w:r>
              <w:t>Nigeria</w:t>
            </w:r>
          </w:p>
        </w:tc>
        <w:tc>
          <w:tcPr>
            <w:tcW w:w="556" w:type="pct"/>
            <w:tcBorders>
              <w:top w:val="nil"/>
              <w:left w:val="single" w:sz="4" w:space="0" w:color="auto"/>
              <w:bottom w:val="single" w:sz="4" w:space="0" w:color="auto"/>
              <w:right w:val="single" w:sz="4" w:space="0" w:color="auto"/>
            </w:tcBorders>
            <w:shd w:val="clear" w:color="auto" w:fill="auto"/>
            <w:vAlign w:val="bottom"/>
          </w:tcPr>
          <w:p w14:paraId="6B70F9BE" w14:textId="2F9BC5AF" w:rsidR="00BF6FDD" w:rsidRDefault="00BF6FDD" w:rsidP="00BF6FDD">
            <w:pPr>
              <w:pStyle w:val="Table"/>
            </w:pPr>
            <w:r>
              <w:rPr>
                <w:rFonts w:ascii="Calibri" w:hAnsi="Calibri" w:cs="Calibri"/>
                <w:color w:val="000000"/>
              </w:rPr>
              <w:t>2.9</w:t>
            </w:r>
          </w:p>
        </w:tc>
        <w:tc>
          <w:tcPr>
            <w:tcW w:w="556" w:type="pct"/>
            <w:tcBorders>
              <w:top w:val="nil"/>
              <w:left w:val="nil"/>
              <w:bottom w:val="single" w:sz="4" w:space="0" w:color="auto"/>
              <w:right w:val="single" w:sz="4" w:space="0" w:color="auto"/>
            </w:tcBorders>
            <w:shd w:val="clear" w:color="auto" w:fill="auto"/>
            <w:vAlign w:val="bottom"/>
          </w:tcPr>
          <w:p w14:paraId="6829E887" w14:textId="225AE29F" w:rsidR="00BF6FDD" w:rsidRDefault="00BF6FDD" w:rsidP="00BF6FDD">
            <w:pPr>
              <w:pStyle w:val="Table"/>
            </w:pPr>
            <w:r>
              <w:rPr>
                <w:rFonts w:ascii="Calibri" w:hAnsi="Calibri" w:cs="Calibri"/>
                <w:color w:val="000000"/>
              </w:rPr>
              <w:t>3.4</w:t>
            </w:r>
          </w:p>
        </w:tc>
        <w:tc>
          <w:tcPr>
            <w:tcW w:w="557" w:type="pct"/>
            <w:tcBorders>
              <w:top w:val="nil"/>
              <w:left w:val="nil"/>
              <w:bottom w:val="single" w:sz="4" w:space="0" w:color="auto"/>
              <w:right w:val="single" w:sz="4" w:space="0" w:color="auto"/>
            </w:tcBorders>
            <w:shd w:val="clear" w:color="auto" w:fill="auto"/>
            <w:vAlign w:val="bottom"/>
          </w:tcPr>
          <w:p w14:paraId="2ACA82A6" w14:textId="15B9BA64" w:rsidR="00BF6FDD" w:rsidRDefault="00BF6FDD" w:rsidP="00BF6FDD">
            <w:pPr>
              <w:pStyle w:val="Table"/>
            </w:pPr>
            <w:r>
              <w:rPr>
                <w:rFonts w:ascii="Calibri" w:hAnsi="Calibri" w:cs="Calibri"/>
                <w:color w:val="000000"/>
              </w:rPr>
              <w:t>3.4</w:t>
            </w:r>
          </w:p>
        </w:tc>
        <w:tc>
          <w:tcPr>
            <w:tcW w:w="556" w:type="pct"/>
            <w:tcBorders>
              <w:top w:val="nil"/>
              <w:left w:val="nil"/>
              <w:bottom w:val="single" w:sz="4" w:space="0" w:color="auto"/>
              <w:right w:val="single" w:sz="4" w:space="0" w:color="auto"/>
            </w:tcBorders>
            <w:shd w:val="clear" w:color="auto" w:fill="auto"/>
            <w:vAlign w:val="bottom"/>
          </w:tcPr>
          <w:p w14:paraId="3602DA98" w14:textId="074A401E" w:rsidR="00BF6FDD" w:rsidRDefault="00BF6FDD" w:rsidP="00BF6FDD">
            <w:pPr>
              <w:pStyle w:val="Table"/>
            </w:pPr>
            <w:r>
              <w:rPr>
                <w:rFonts w:ascii="Calibri" w:hAnsi="Calibri" w:cs="Calibri"/>
                <w:color w:val="000000"/>
              </w:rPr>
              <w:t>3.2</w:t>
            </w:r>
          </w:p>
        </w:tc>
        <w:tc>
          <w:tcPr>
            <w:tcW w:w="556" w:type="pct"/>
            <w:tcBorders>
              <w:top w:val="nil"/>
              <w:left w:val="nil"/>
              <w:bottom w:val="single" w:sz="4" w:space="0" w:color="auto"/>
              <w:right w:val="single" w:sz="4" w:space="0" w:color="auto"/>
            </w:tcBorders>
            <w:shd w:val="clear" w:color="auto" w:fill="auto"/>
            <w:vAlign w:val="bottom"/>
          </w:tcPr>
          <w:p w14:paraId="2688CD37" w14:textId="49F36BCB" w:rsidR="00BF6FDD" w:rsidRDefault="00BF6FDD" w:rsidP="00BF6FDD">
            <w:pPr>
              <w:pStyle w:val="Table"/>
            </w:pPr>
            <w:r>
              <w:rPr>
                <w:rFonts w:ascii="Calibri" w:hAnsi="Calibri" w:cs="Calibri"/>
                <w:color w:val="000000"/>
              </w:rPr>
              <w:t>4</w:t>
            </w:r>
          </w:p>
        </w:tc>
        <w:tc>
          <w:tcPr>
            <w:tcW w:w="556" w:type="pct"/>
            <w:tcBorders>
              <w:top w:val="nil"/>
              <w:left w:val="nil"/>
              <w:bottom w:val="single" w:sz="4" w:space="0" w:color="auto"/>
              <w:right w:val="single" w:sz="4" w:space="0" w:color="auto"/>
            </w:tcBorders>
            <w:shd w:val="clear" w:color="auto" w:fill="auto"/>
            <w:vAlign w:val="bottom"/>
          </w:tcPr>
          <w:p w14:paraId="69358235" w14:textId="0395E4E1" w:rsidR="00BF6FDD" w:rsidRDefault="00BF6FDD" w:rsidP="00BF6FDD">
            <w:pPr>
              <w:pStyle w:val="Table"/>
            </w:pPr>
            <w:r>
              <w:rPr>
                <w:rFonts w:ascii="Calibri" w:hAnsi="Calibri" w:cs="Calibri"/>
                <w:color w:val="000000"/>
              </w:rPr>
              <w:t>4</w:t>
            </w:r>
          </w:p>
        </w:tc>
        <w:tc>
          <w:tcPr>
            <w:tcW w:w="556" w:type="pct"/>
            <w:tcBorders>
              <w:top w:val="nil"/>
              <w:left w:val="nil"/>
              <w:bottom w:val="single" w:sz="4" w:space="0" w:color="auto"/>
              <w:right w:val="single" w:sz="4" w:space="0" w:color="auto"/>
            </w:tcBorders>
            <w:shd w:val="clear" w:color="auto" w:fill="auto"/>
            <w:vAlign w:val="bottom"/>
          </w:tcPr>
          <w:p w14:paraId="44D1132E" w14:textId="76B23D4F" w:rsidR="00BF6FDD" w:rsidRDefault="00BF6FDD" w:rsidP="00BF6FDD">
            <w:pPr>
              <w:pStyle w:val="Table"/>
            </w:pPr>
            <w:r>
              <w:rPr>
                <w:rFonts w:ascii="Calibri" w:hAnsi="Calibri" w:cs="Calibri"/>
                <w:color w:val="000000"/>
              </w:rPr>
              <w:t>4.1</w:t>
            </w:r>
          </w:p>
        </w:tc>
      </w:tr>
    </w:tbl>
    <w:p w14:paraId="0C1F41B4" w14:textId="0FCF99F3" w:rsidR="00903AC3" w:rsidRPr="00F539C6" w:rsidRDefault="00093FDF" w:rsidP="00F539C6">
      <w:pPr>
        <w:pStyle w:val="NumberedParagraph"/>
        <w:numPr>
          <w:ilvl w:val="0"/>
          <w:numId w:val="0"/>
        </w:numPr>
      </w:pPr>
      <w:r w:rsidRPr="00093FDF">
        <w:t>Source: IMF’s World Economic Outlook.</w:t>
      </w:r>
    </w:p>
    <w:p w14:paraId="7774F430" w14:textId="2CDDB7AA" w:rsidR="00093FDF" w:rsidRDefault="00093FDF" w:rsidP="00093FDF">
      <w:pPr>
        <w:pStyle w:val="Caption"/>
      </w:pPr>
      <w:bookmarkStart w:id="15" w:name="_Toc208941480"/>
      <w:r>
        <w:t xml:space="preserve">Table </w:t>
      </w:r>
      <w:fldSimple w:instr=" SEQ Table \* ARABIC ">
        <w:r w:rsidR="00F60625">
          <w:rPr>
            <w:noProof/>
          </w:rPr>
          <w:t>3</w:t>
        </w:r>
      </w:fldSimple>
      <w:r>
        <w:t xml:space="preserve">: </w:t>
      </w:r>
      <w:r w:rsidRPr="00642FF6">
        <w:t>Inflation (CPI) - Selected Countries</w:t>
      </w:r>
      <w:bookmarkEnd w:id="15"/>
    </w:p>
    <w:tbl>
      <w:tblPr>
        <w:tblW w:w="4944" w:type="pct"/>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1E0" w:firstRow="1" w:lastRow="1" w:firstColumn="1" w:lastColumn="1" w:noHBand="0" w:noVBand="0"/>
      </w:tblPr>
      <w:tblGrid>
        <w:gridCol w:w="2105"/>
        <w:gridCol w:w="1057"/>
        <w:gridCol w:w="1057"/>
        <w:gridCol w:w="1059"/>
        <w:gridCol w:w="1058"/>
        <w:gridCol w:w="1058"/>
        <w:gridCol w:w="1058"/>
        <w:gridCol w:w="1058"/>
      </w:tblGrid>
      <w:tr w:rsidR="00093FDF" w:rsidRPr="00B848D1" w14:paraId="41D6D37D" w14:textId="77777777" w:rsidTr="00093FDF">
        <w:trPr>
          <w:cantSplit/>
          <w:tblHeader/>
        </w:trPr>
        <w:tc>
          <w:tcPr>
            <w:tcW w:w="1107" w:type="pct"/>
            <w:vMerge w:val="restart"/>
            <w:shd w:val="clear" w:color="auto" w:fill="404040" w:themeFill="text1" w:themeFillTint="BF"/>
            <w:vAlign w:val="center"/>
          </w:tcPr>
          <w:p w14:paraId="54855575" w14:textId="77777777" w:rsidR="00093FDF" w:rsidRPr="00093FDF" w:rsidRDefault="00093FDF" w:rsidP="00C61F6D">
            <w:pPr>
              <w:pStyle w:val="Table"/>
              <w:jc w:val="center"/>
              <w:rPr>
                <w:b/>
                <w:bCs/>
                <w:color w:val="FFFFFF" w:themeColor="background1"/>
              </w:rPr>
            </w:pPr>
            <w:r w:rsidRPr="00093FDF">
              <w:rPr>
                <w:b/>
                <w:bCs/>
                <w:color w:val="FFFFFF" w:themeColor="background1"/>
              </w:rPr>
              <w:t>Country</w:t>
            </w:r>
          </w:p>
        </w:tc>
        <w:tc>
          <w:tcPr>
            <w:tcW w:w="2225" w:type="pct"/>
            <w:gridSpan w:val="4"/>
            <w:shd w:val="clear" w:color="auto" w:fill="404040" w:themeFill="text1" w:themeFillTint="BF"/>
          </w:tcPr>
          <w:p w14:paraId="1A2C4B37" w14:textId="3055E707" w:rsidR="00093FDF" w:rsidRPr="00093FDF" w:rsidRDefault="00093FDF" w:rsidP="00C61F6D">
            <w:pPr>
              <w:pStyle w:val="Table"/>
              <w:jc w:val="center"/>
              <w:rPr>
                <w:color w:val="FFFFFF" w:themeColor="background1"/>
              </w:rPr>
            </w:pPr>
            <w:r w:rsidRPr="00093FDF">
              <w:rPr>
                <w:b/>
                <w:bCs/>
                <w:color w:val="FFFFFF" w:themeColor="background1"/>
              </w:rPr>
              <w:t>Actual</w:t>
            </w:r>
          </w:p>
        </w:tc>
        <w:tc>
          <w:tcPr>
            <w:tcW w:w="1669" w:type="pct"/>
            <w:gridSpan w:val="3"/>
            <w:shd w:val="clear" w:color="auto" w:fill="404040" w:themeFill="text1" w:themeFillTint="BF"/>
            <w:vAlign w:val="center"/>
          </w:tcPr>
          <w:p w14:paraId="304E2B10" w14:textId="77777777" w:rsidR="00093FDF" w:rsidRPr="00093FDF" w:rsidRDefault="00093FDF" w:rsidP="00C61F6D">
            <w:pPr>
              <w:pStyle w:val="Table"/>
              <w:jc w:val="center"/>
              <w:rPr>
                <w:b/>
                <w:bCs/>
                <w:color w:val="FFFFFF" w:themeColor="background1"/>
              </w:rPr>
            </w:pPr>
            <w:r w:rsidRPr="00093FDF">
              <w:rPr>
                <w:b/>
                <w:bCs/>
                <w:color w:val="FFFFFF" w:themeColor="background1"/>
              </w:rPr>
              <w:t>Forecast</w:t>
            </w:r>
          </w:p>
        </w:tc>
      </w:tr>
      <w:tr w:rsidR="00CA2FD6" w:rsidRPr="001A434D" w14:paraId="46BB3188" w14:textId="77777777" w:rsidTr="001437B8">
        <w:trPr>
          <w:cantSplit/>
          <w:trHeight w:val="91"/>
        </w:trPr>
        <w:tc>
          <w:tcPr>
            <w:tcW w:w="1107" w:type="pct"/>
            <w:vMerge/>
            <w:shd w:val="clear" w:color="auto" w:fill="D9D9D9" w:themeFill="background1" w:themeFillShade="D9"/>
          </w:tcPr>
          <w:p w14:paraId="697C319B" w14:textId="77777777" w:rsidR="00CA2FD6" w:rsidRPr="001A434D" w:rsidRDefault="00CA2FD6" w:rsidP="00CA2FD6">
            <w:pPr>
              <w:pStyle w:val="Table"/>
              <w:rPr>
                <w:highlight w:val="yellow"/>
              </w:rPr>
            </w:pPr>
          </w:p>
        </w:tc>
        <w:tc>
          <w:tcPr>
            <w:tcW w:w="556" w:type="pct"/>
            <w:tcBorders>
              <w:top w:val="nil"/>
              <w:left w:val="nil"/>
              <w:bottom w:val="nil"/>
              <w:right w:val="nil"/>
            </w:tcBorders>
            <w:shd w:val="clear" w:color="auto" w:fill="auto"/>
            <w:vAlign w:val="bottom"/>
          </w:tcPr>
          <w:p w14:paraId="5C880749" w14:textId="3531B0F3" w:rsidR="00CA2FD6" w:rsidRPr="001A434D" w:rsidRDefault="00CA2FD6" w:rsidP="00CA2FD6">
            <w:pPr>
              <w:pStyle w:val="Table"/>
              <w:rPr>
                <w:highlight w:val="yellow"/>
              </w:rPr>
            </w:pPr>
            <w:r>
              <w:rPr>
                <w:rFonts w:ascii="Calibri" w:hAnsi="Calibri" w:cs="Calibri"/>
                <w:color w:val="000000"/>
              </w:rPr>
              <w:t>2023</w:t>
            </w:r>
          </w:p>
        </w:tc>
        <w:tc>
          <w:tcPr>
            <w:tcW w:w="556" w:type="pct"/>
            <w:tcBorders>
              <w:top w:val="nil"/>
              <w:left w:val="nil"/>
              <w:bottom w:val="nil"/>
              <w:right w:val="nil"/>
            </w:tcBorders>
            <w:shd w:val="clear" w:color="auto" w:fill="auto"/>
            <w:vAlign w:val="bottom"/>
          </w:tcPr>
          <w:p w14:paraId="698C5EA6" w14:textId="0C3394E8" w:rsidR="00CA2FD6" w:rsidRPr="001A434D" w:rsidRDefault="00CA2FD6" w:rsidP="00CA2FD6">
            <w:pPr>
              <w:pStyle w:val="Table"/>
              <w:rPr>
                <w:highlight w:val="yellow"/>
              </w:rPr>
            </w:pPr>
            <w:r>
              <w:rPr>
                <w:rFonts w:ascii="Calibri" w:hAnsi="Calibri" w:cs="Calibri"/>
                <w:color w:val="000000"/>
              </w:rPr>
              <w:t>2024</w:t>
            </w:r>
          </w:p>
        </w:tc>
        <w:tc>
          <w:tcPr>
            <w:tcW w:w="557" w:type="pct"/>
            <w:tcBorders>
              <w:top w:val="nil"/>
              <w:left w:val="nil"/>
              <w:bottom w:val="nil"/>
              <w:right w:val="nil"/>
            </w:tcBorders>
            <w:shd w:val="clear" w:color="auto" w:fill="auto"/>
            <w:vAlign w:val="bottom"/>
          </w:tcPr>
          <w:p w14:paraId="4917EC0F" w14:textId="1AEF5D7F" w:rsidR="00CA2FD6" w:rsidRPr="001A434D" w:rsidRDefault="00CA2FD6" w:rsidP="00CA2FD6">
            <w:pPr>
              <w:pStyle w:val="Table"/>
              <w:rPr>
                <w:highlight w:val="yellow"/>
              </w:rPr>
            </w:pPr>
            <w:r>
              <w:rPr>
                <w:rFonts w:ascii="Calibri" w:hAnsi="Calibri" w:cs="Calibri"/>
                <w:color w:val="000000"/>
              </w:rPr>
              <w:t>2025</w:t>
            </w:r>
          </w:p>
        </w:tc>
        <w:tc>
          <w:tcPr>
            <w:tcW w:w="556" w:type="pct"/>
            <w:tcBorders>
              <w:top w:val="nil"/>
              <w:left w:val="nil"/>
              <w:bottom w:val="nil"/>
              <w:right w:val="nil"/>
            </w:tcBorders>
            <w:shd w:val="clear" w:color="auto" w:fill="auto"/>
            <w:vAlign w:val="bottom"/>
          </w:tcPr>
          <w:p w14:paraId="35C7C88D" w14:textId="6F5EE62A" w:rsidR="00CA2FD6" w:rsidRPr="001A434D" w:rsidRDefault="00CA2FD6" w:rsidP="00CA2FD6">
            <w:pPr>
              <w:pStyle w:val="Table"/>
              <w:rPr>
                <w:highlight w:val="yellow"/>
              </w:rPr>
            </w:pPr>
            <w:r>
              <w:rPr>
                <w:rFonts w:ascii="Calibri" w:hAnsi="Calibri" w:cs="Calibri"/>
                <w:color w:val="000000"/>
              </w:rPr>
              <w:t>2026</w:t>
            </w:r>
          </w:p>
        </w:tc>
        <w:tc>
          <w:tcPr>
            <w:tcW w:w="556" w:type="pct"/>
            <w:tcBorders>
              <w:top w:val="nil"/>
              <w:left w:val="nil"/>
              <w:bottom w:val="nil"/>
              <w:right w:val="nil"/>
            </w:tcBorders>
            <w:shd w:val="clear" w:color="auto" w:fill="auto"/>
            <w:vAlign w:val="bottom"/>
          </w:tcPr>
          <w:p w14:paraId="4C659F8A" w14:textId="6970D72A" w:rsidR="00CA2FD6" w:rsidRPr="001A434D" w:rsidRDefault="00CA2FD6" w:rsidP="00CA2FD6">
            <w:pPr>
              <w:pStyle w:val="Table"/>
              <w:rPr>
                <w:highlight w:val="yellow"/>
              </w:rPr>
            </w:pPr>
            <w:r>
              <w:rPr>
                <w:rFonts w:ascii="Calibri" w:hAnsi="Calibri" w:cs="Calibri"/>
                <w:color w:val="000000"/>
              </w:rPr>
              <w:t>2027</w:t>
            </w:r>
          </w:p>
        </w:tc>
        <w:tc>
          <w:tcPr>
            <w:tcW w:w="556" w:type="pct"/>
            <w:tcBorders>
              <w:top w:val="nil"/>
              <w:left w:val="nil"/>
              <w:bottom w:val="nil"/>
              <w:right w:val="nil"/>
            </w:tcBorders>
            <w:shd w:val="clear" w:color="auto" w:fill="auto"/>
            <w:vAlign w:val="bottom"/>
          </w:tcPr>
          <w:p w14:paraId="71A6548F" w14:textId="4C7A525D" w:rsidR="00CA2FD6" w:rsidRPr="001A434D" w:rsidRDefault="00CA2FD6" w:rsidP="00CA2FD6">
            <w:pPr>
              <w:pStyle w:val="Table"/>
              <w:rPr>
                <w:highlight w:val="yellow"/>
              </w:rPr>
            </w:pPr>
            <w:r>
              <w:rPr>
                <w:rFonts w:ascii="Calibri" w:hAnsi="Calibri" w:cs="Calibri"/>
                <w:color w:val="000000"/>
              </w:rPr>
              <w:t>2028</w:t>
            </w:r>
          </w:p>
        </w:tc>
        <w:tc>
          <w:tcPr>
            <w:tcW w:w="556" w:type="pct"/>
            <w:tcBorders>
              <w:top w:val="nil"/>
              <w:left w:val="nil"/>
              <w:bottom w:val="nil"/>
              <w:right w:val="nil"/>
            </w:tcBorders>
            <w:shd w:val="clear" w:color="auto" w:fill="auto"/>
            <w:vAlign w:val="bottom"/>
          </w:tcPr>
          <w:p w14:paraId="1506F394" w14:textId="74D1A3BC" w:rsidR="00CA2FD6" w:rsidRPr="001A434D" w:rsidRDefault="00CA2FD6" w:rsidP="00CA2FD6">
            <w:pPr>
              <w:pStyle w:val="Table"/>
              <w:rPr>
                <w:highlight w:val="yellow"/>
              </w:rPr>
            </w:pPr>
            <w:r>
              <w:rPr>
                <w:rFonts w:ascii="Calibri" w:hAnsi="Calibri" w:cs="Calibri"/>
                <w:color w:val="000000"/>
              </w:rPr>
              <w:t>2029</w:t>
            </w:r>
          </w:p>
        </w:tc>
      </w:tr>
      <w:tr w:rsidR="00CA2FD6" w:rsidRPr="00D91798" w14:paraId="5B4D3FCA" w14:textId="77777777" w:rsidTr="001437B8">
        <w:trPr>
          <w:cantSplit/>
        </w:trPr>
        <w:tc>
          <w:tcPr>
            <w:tcW w:w="1107" w:type="pct"/>
          </w:tcPr>
          <w:p w14:paraId="16681429" w14:textId="77777777" w:rsidR="00CA2FD6" w:rsidRPr="00D91798" w:rsidRDefault="00CA2FD6" w:rsidP="00CA2FD6">
            <w:pPr>
              <w:pStyle w:val="Table"/>
            </w:pPr>
            <w:r w:rsidRPr="00270F7D">
              <w:t>Mexico</w:t>
            </w:r>
          </w:p>
        </w:tc>
        <w:tc>
          <w:tcPr>
            <w:tcW w:w="556" w:type="pct"/>
            <w:tcBorders>
              <w:top w:val="nil"/>
              <w:left w:val="nil"/>
              <w:bottom w:val="nil"/>
              <w:right w:val="nil"/>
            </w:tcBorders>
            <w:shd w:val="clear" w:color="auto" w:fill="auto"/>
            <w:vAlign w:val="bottom"/>
          </w:tcPr>
          <w:p w14:paraId="31DA35FF" w14:textId="30E61350" w:rsidR="00CA2FD6" w:rsidRPr="00D91798" w:rsidRDefault="00CA2FD6" w:rsidP="00CA2FD6">
            <w:pPr>
              <w:pStyle w:val="Table"/>
            </w:pPr>
            <w:r>
              <w:rPr>
                <w:rFonts w:ascii="Calibri" w:hAnsi="Calibri" w:cs="Calibri"/>
                <w:color w:val="000000"/>
              </w:rPr>
              <w:t>5.5</w:t>
            </w:r>
          </w:p>
        </w:tc>
        <w:tc>
          <w:tcPr>
            <w:tcW w:w="556" w:type="pct"/>
            <w:tcBorders>
              <w:top w:val="nil"/>
              <w:left w:val="nil"/>
              <w:bottom w:val="nil"/>
              <w:right w:val="nil"/>
            </w:tcBorders>
            <w:shd w:val="clear" w:color="auto" w:fill="auto"/>
            <w:vAlign w:val="bottom"/>
          </w:tcPr>
          <w:p w14:paraId="1B564DF5" w14:textId="10C4B72C" w:rsidR="00CA2FD6" w:rsidRPr="00D91798" w:rsidRDefault="00CA2FD6" w:rsidP="00CA2FD6">
            <w:pPr>
              <w:pStyle w:val="Table"/>
            </w:pPr>
            <w:r>
              <w:rPr>
                <w:rFonts w:ascii="Calibri" w:hAnsi="Calibri" w:cs="Calibri"/>
                <w:color w:val="000000"/>
              </w:rPr>
              <w:t>4.7</w:t>
            </w:r>
          </w:p>
        </w:tc>
        <w:tc>
          <w:tcPr>
            <w:tcW w:w="557" w:type="pct"/>
            <w:tcBorders>
              <w:top w:val="nil"/>
              <w:left w:val="nil"/>
              <w:bottom w:val="nil"/>
              <w:right w:val="nil"/>
            </w:tcBorders>
            <w:shd w:val="clear" w:color="auto" w:fill="auto"/>
            <w:vAlign w:val="bottom"/>
          </w:tcPr>
          <w:p w14:paraId="58F96D12" w14:textId="3BB4DB58" w:rsidR="00CA2FD6" w:rsidRPr="00D91798" w:rsidRDefault="00CA2FD6" w:rsidP="00CA2FD6">
            <w:pPr>
              <w:pStyle w:val="Table"/>
            </w:pPr>
            <w:r>
              <w:rPr>
                <w:rFonts w:ascii="Calibri" w:hAnsi="Calibri" w:cs="Calibri"/>
                <w:color w:val="000000"/>
              </w:rPr>
              <w:t>3.5</w:t>
            </w:r>
          </w:p>
        </w:tc>
        <w:tc>
          <w:tcPr>
            <w:tcW w:w="556" w:type="pct"/>
            <w:tcBorders>
              <w:top w:val="nil"/>
              <w:left w:val="nil"/>
              <w:bottom w:val="nil"/>
              <w:right w:val="nil"/>
            </w:tcBorders>
            <w:shd w:val="clear" w:color="auto" w:fill="auto"/>
            <w:vAlign w:val="bottom"/>
          </w:tcPr>
          <w:p w14:paraId="73DA26CD" w14:textId="1A7B47D5" w:rsidR="00CA2FD6" w:rsidRPr="00D91798" w:rsidRDefault="00CA2FD6" w:rsidP="00CA2FD6">
            <w:pPr>
              <w:pStyle w:val="Table"/>
            </w:pPr>
            <w:r>
              <w:rPr>
                <w:rFonts w:ascii="Calibri" w:hAnsi="Calibri" w:cs="Calibri"/>
                <w:color w:val="000000"/>
              </w:rPr>
              <w:t>3.2</w:t>
            </w:r>
          </w:p>
        </w:tc>
        <w:tc>
          <w:tcPr>
            <w:tcW w:w="556" w:type="pct"/>
            <w:tcBorders>
              <w:top w:val="nil"/>
              <w:left w:val="nil"/>
              <w:bottom w:val="nil"/>
              <w:right w:val="nil"/>
            </w:tcBorders>
            <w:shd w:val="clear" w:color="auto" w:fill="auto"/>
            <w:vAlign w:val="bottom"/>
          </w:tcPr>
          <w:p w14:paraId="130F6975" w14:textId="65317882" w:rsidR="00CA2FD6" w:rsidRPr="00D91798" w:rsidRDefault="00CA2FD6" w:rsidP="00CA2FD6">
            <w:pPr>
              <w:pStyle w:val="Table"/>
            </w:pPr>
            <w:r>
              <w:rPr>
                <w:rFonts w:ascii="Calibri" w:hAnsi="Calibri" w:cs="Calibri"/>
                <w:color w:val="000000"/>
              </w:rPr>
              <w:t>3</w:t>
            </w:r>
          </w:p>
        </w:tc>
        <w:tc>
          <w:tcPr>
            <w:tcW w:w="556" w:type="pct"/>
            <w:tcBorders>
              <w:top w:val="nil"/>
              <w:left w:val="nil"/>
              <w:bottom w:val="nil"/>
              <w:right w:val="nil"/>
            </w:tcBorders>
            <w:shd w:val="clear" w:color="auto" w:fill="auto"/>
            <w:vAlign w:val="bottom"/>
          </w:tcPr>
          <w:p w14:paraId="514D5F08" w14:textId="45DDFFB3" w:rsidR="00CA2FD6" w:rsidRPr="00D91798" w:rsidRDefault="00CA2FD6" w:rsidP="00CA2FD6">
            <w:pPr>
              <w:pStyle w:val="Table"/>
            </w:pPr>
            <w:r>
              <w:rPr>
                <w:rFonts w:ascii="Calibri" w:hAnsi="Calibri" w:cs="Calibri"/>
                <w:color w:val="000000"/>
              </w:rPr>
              <w:t>3</w:t>
            </w:r>
          </w:p>
        </w:tc>
        <w:tc>
          <w:tcPr>
            <w:tcW w:w="556" w:type="pct"/>
            <w:tcBorders>
              <w:top w:val="nil"/>
              <w:left w:val="nil"/>
              <w:bottom w:val="nil"/>
              <w:right w:val="nil"/>
            </w:tcBorders>
            <w:shd w:val="clear" w:color="auto" w:fill="auto"/>
            <w:vAlign w:val="bottom"/>
          </w:tcPr>
          <w:p w14:paraId="20439238" w14:textId="5C4E393A" w:rsidR="00CA2FD6" w:rsidRPr="00D91798" w:rsidRDefault="00CA2FD6" w:rsidP="00CA2FD6">
            <w:pPr>
              <w:pStyle w:val="Table"/>
            </w:pPr>
            <w:r>
              <w:rPr>
                <w:rFonts w:ascii="Calibri" w:hAnsi="Calibri" w:cs="Calibri"/>
                <w:color w:val="000000"/>
              </w:rPr>
              <w:t>3</w:t>
            </w:r>
          </w:p>
        </w:tc>
      </w:tr>
      <w:tr w:rsidR="00CA2FD6" w:rsidRPr="00D91798" w14:paraId="181B5038" w14:textId="77777777" w:rsidTr="001437B8">
        <w:trPr>
          <w:cantSplit/>
        </w:trPr>
        <w:tc>
          <w:tcPr>
            <w:tcW w:w="1107" w:type="pct"/>
          </w:tcPr>
          <w:p w14:paraId="3D95133B" w14:textId="77777777" w:rsidR="00CA2FD6" w:rsidRPr="00D91798" w:rsidRDefault="00CA2FD6" w:rsidP="00CA2FD6">
            <w:pPr>
              <w:pStyle w:val="Table"/>
            </w:pPr>
            <w:r w:rsidRPr="00270F7D">
              <w:t>Indonesia</w:t>
            </w:r>
          </w:p>
        </w:tc>
        <w:tc>
          <w:tcPr>
            <w:tcW w:w="556" w:type="pct"/>
            <w:tcBorders>
              <w:top w:val="nil"/>
              <w:left w:val="nil"/>
              <w:bottom w:val="nil"/>
              <w:right w:val="nil"/>
            </w:tcBorders>
            <w:shd w:val="clear" w:color="auto" w:fill="auto"/>
            <w:vAlign w:val="bottom"/>
          </w:tcPr>
          <w:p w14:paraId="1B0F9906" w14:textId="662991DD" w:rsidR="00CA2FD6" w:rsidRPr="00D91798" w:rsidRDefault="00CA2FD6" w:rsidP="00CA2FD6">
            <w:pPr>
              <w:pStyle w:val="Table"/>
            </w:pPr>
            <w:r>
              <w:rPr>
                <w:rFonts w:ascii="Calibri" w:hAnsi="Calibri" w:cs="Calibri"/>
                <w:color w:val="000000"/>
              </w:rPr>
              <w:t>3.7</w:t>
            </w:r>
          </w:p>
        </w:tc>
        <w:tc>
          <w:tcPr>
            <w:tcW w:w="556" w:type="pct"/>
            <w:tcBorders>
              <w:top w:val="nil"/>
              <w:left w:val="nil"/>
              <w:bottom w:val="nil"/>
              <w:right w:val="nil"/>
            </w:tcBorders>
            <w:shd w:val="clear" w:color="auto" w:fill="auto"/>
            <w:vAlign w:val="bottom"/>
          </w:tcPr>
          <w:p w14:paraId="406E45CF" w14:textId="67F6183D" w:rsidR="00CA2FD6" w:rsidRPr="00D91798" w:rsidRDefault="00CA2FD6" w:rsidP="00CA2FD6">
            <w:pPr>
              <w:pStyle w:val="Table"/>
            </w:pPr>
            <w:r>
              <w:rPr>
                <w:rFonts w:ascii="Calibri" w:hAnsi="Calibri" w:cs="Calibri"/>
                <w:color w:val="000000"/>
              </w:rPr>
              <w:t>2.3</w:t>
            </w:r>
          </w:p>
        </w:tc>
        <w:tc>
          <w:tcPr>
            <w:tcW w:w="557" w:type="pct"/>
            <w:tcBorders>
              <w:top w:val="nil"/>
              <w:left w:val="nil"/>
              <w:bottom w:val="nil"/>
              <w:right w:val="nil"/>
            </w:tcBorders>
            <w:shd w:val="clear" w:color="auto" w:fill="auto"/>
            <w:vAlign w:val="bottom"/>
          </w:tcPr>
          <w:p w14:paraId="6178ECBD" w14:textId="6E2D69FB" w:rsidR="00CA2FD6" w:rsidRPr="00D91798" w:rsidRDefault="00CA2FD6" w:rsidP="00CA2FD6">
            <w:pPr>
              <w:pStyle w:val="Table"/>
            </w:pPr>
            <w:r>
              <w:rPr>
                <w:rFonts w:ascii="Calibri" w:hAnsi="Calibri" w:cs="Calibri"/>
                <w:color w:val="000000"/>
              </w:rPr>
              <w:t>1.7</w:t>
            </w:r>
          </w:p>
        </w:tc>
        <w:tc>
          <w:tcPr>
            <w:tcW w:w="556" w:type="pct"/>
            <w:tcBorders>
              <w:top w:val="nil"/>
              <w:left w:val="nil"/>
              <w:bottom w:val="nil"/>
              <w:right w:val="nil"/>
            </w:tcBorders>
            <w:shd w:val="clear" w:color="auto" w:fill="auto"/>
            <w:vAlign w:val="bottom"/>
          </w:tcPr>
          <w:p w14:paraId="771F06FE" w14:textId="5ABA9298" w:rsidR="00CA2FD6" w:rsidRPr="00D91798" w:rsidRDefault="00CA2FD6" w:rsidP="00CA2FD6">
            <w:pPr>
              <w:pStyle w:val="Table"/>
            </w:pPr>
            <w:r>
              <w:rPr>
                <w:rFonts w:ascii="Calibri" w:hAnsi="Calibri" w:cs="Calibri"/>
                <w:color w:val="000000"/>
              </w:rPr>
              <w:t>2.5</w:t>
            </w:r>
          </w:p>
        </w:tc>
        <w:tc>
          <w:tcPr>
            <w:tcW w:w="556" w:type="pct"/>
            <w:tcBorders>
              <w:top w:val="nil"/>
              <w:left w:val="nil"/>
              <w:bottom w:val="nil"/>
              <w:right w:val="nil"/>
            </w:tcBorders>
            <w:shd w:val="clear" w:color="auto" w:fill="auto"/>
            <w:vAlign w:val="bottom"/>
          </w:tcPr>
          <w:p w14:paraId="7C5C3388" w14:textId="2DA25CC8" w:rsidR="00CA2FD6" w:rsidRPr="00D91798" w:rsidRDefault="00CA2FD6" w:rsidP="00CA2FD6">
            <w:pPr>
              <w:pStyle w:val="Table"/>
            </w:pPr>
            <w:r>
              <w:rPr>
                <w:rFonts w:ascii="Calibri" w:hAnsi="Calibri" w:cs="Calibri"/>
                <w:color w:val="000000"/>
              </w:rPr>
              <w:t>2.5</w:t>
            </w:r>
          </w:p>
        </w:tc>
        <w:tc>
          <w:tcPr>
            <w:tcW w:w="556" w:type="pct"/>
            <w:tcBorders>
              <w:top w:val="nil"/>
              <w:left w:val="nil"/>
              <w:bottom w:val="nil"/>
              <w:right w:val="nil"/>
            </w:tcBorders>
            <w:shd w:val="clear" w:color="auto" w:fill="auto"/>
            <w:vAlign w:val="bottom"/>
          </w:tcPr>
          <w:p w14:paraId="7831F2F2" w14:textId="2777AB65" w:rsidR="00CA2FD6" w:rsidRPr="00D91798" w:rsidRDefault="00CA2FD6" w:rsidP="00CA2FD6">
            <w:pPr>
              <w:pStyle w:val="Table"/>
            </w:pPr>
            <w:r>
              <w:rPr>
                <w:rFonts w:ascii="Calibri" w:hAnsi="Calibri" w:cs="Calibri"/>
                <w:color w:val="000000"/>
              </w:rPr>
              <w:t>2.5</w:t>
            </w:r>
          </w:p>
        </w:tc>
        <w:tc>
          <w:tcPr>
            <w:tcW w:w="556" w:type="pct"/>
            <w:tcBorders>
              <w:top w:val="nil"/>
              <w:left w:val="nil"/>
              <w:bottom w:val="nil"/>
              <w:right w:val="nil"/>
            </w:tcBorders>
            <w:shd w:val="clear" w:color="auto" w:fill="auto"/>
            <w:vAlign w:val="bottom"/>
          </w:tcPr>
          <w:p w14:paraId="2F422893" w14:textId="023F17C1" w:rsidR="00CA2FD6" w:rsidRPr="00D91798" w:rsidRDefault="00CA2FD6" w:rsidP="00CA2FD6">
            <w:pPr>
              <w:pStyle w:val="Table"/>
            </w:pPr>
            <w:r>
              <w:rPr>
                <w:rFonts w:ascii="Calibri" w:hAnsi="Calibri" w:cs="Calibri"/>
                <w:color w:val="000000"/>
              </w:rPr>
              <w:t>2.5</w:t>
            </w:r>
          </w:p>
        </w:tc>
      </w:tr>
      <w:tr w:rsidR="00CA2FD6" w:rsidRPr="00D91798" w14:paraId="2E778178" w14:textId="77777777" w:rsidTr="001437B8">
        <w:trPr>
          <w:cantSplit/>
        </w:trPr>
        <w:tc>
          <w:tcPr>
            <w:tcW w:w="1107" w:type="pct"/>
          </w:tcPr>
          <w:p w14:paraId="6AE12C63" w14:textId="77777777" w:rsidR="00CA2FD6" w:rsidRPr="00D91798" w:rsidRDefault="00CA2FD6" w:rsidP="00CA2FD6">
            <w:pPr>
              <w:pStyle w:val="Table"/>
            </w:pPr>
            <w:r w:rsidRPr="00270F7D">
              <w:t>Turkey</w:t>
            </w:r>
          </w:p>
        </w:tc>
        <w:tc>
          <w:tcPr>
            <w:tcW w:w="556" w:type="pct"/>
            <w:tcBorders>
              <w:top w:val="nil"/>
              <w:left w:val="nil"/>
              <w:bottom w:val="nil"/>
              <w:right w:val="nil"/>
            </w:tcBorders>
            <w:shd w:val="clear" w:color="auto" w:fill="auto"/>
            <w:vAlign w:val="bottom"/>
          </w:tcPr>
          <w:p w14:paraId="5B70CD12" w14:textId="24E5011D" w:rsidR="00CA2FD6" w:rsidRPr="00D91798" w:rsidRDefault="00CA2FD6" w:rsidP="00CA2FD6">
            <w:pPr>
              <w:pStyle w:val="Table"/>
            </w:pPr>
            <w:r>
              <w:rPr>
                <w:rFonts w:ascii="Calibri" w:hAnsi="Calibri" w:cs="Calibri"/>
                <w:color w:val="000000"/>
              </w:rPr>
              <w:t>53.9</w:t>
            </w:r>
          </w:p>
        </w:tc>
        <w:tc>
          <w:tcPr>
            <w:tcW w:w="556" w:type="pct"/>
            <w:tcBorders>
              <w:top w:val="nil"/>
              <w:left w:val="nil"/>
              <w:bottom w:val="nil"/>
              <w:right w:val="nil"/>
            </w:tcBorders>
            <w:shd w:val="clear" w:color="auto" w:fill="auto"/>
            <w:vAlign w:val="bottom"/>
          </w:tcPr>
          <w:p w14:paraId="1178162A" w14:textId="42745409" w:rsidR="00CA2FD6" w:rsidRPr="00D91798" w:rsidRDefault="00CA2FD6" w:rsidP="00CA2FD6">
            <w:pPr>
              <w:pStyle w:val="Table"/>
            </w:pPr>
            <w:r>
              <w:rPr>
                <w:rFonts w:ascii="Calibri" w:hAnsi="Calibri" w:cs="Calibri"/>
                <w:color w:val="000000"/>
              </w:rPr>
              <w:t>58.5</w:t>
            </w:r>
          </w:p>
        </w:tc>
        <w:tc>
          <w:tcPr>
            <w:tcW w:w="557" w:type="pct"/>
            <w:tcBorders>
              <w:top w:val="nil"/>
              <w:left w:val="nil"/>
              <w:bottom w:val="nil"/>
              <w:right w:val="nil"/>
            </w:tcBorders>
            <w:shd w:val="clear" w:color="auto" w:fill="auto"/>
            <w:vAlign w:val="bottom"/>
          </w:tcPr>
          <w:p w14:paraId="46F70EF1" w14:textId="45CF511C" w:rsidR="00CA2FD6" w:rsidRPr="00D91798" w:rsidRDefault="00CA2FD6" w:rsidP="00CA2FD6">
            <w:pPr>
              <w:pStyle w:val="Table"/>
            </w:pPr>
            <w:r>
              <w:rPr>
                <w:rFonts w:ascii="Calibri" w:hAnsi="Calibri" w:cs="Calibri"/>
                <w:color w:val="000000"/>
              </w:rPr>
              <w:t>35.9</w:t>
            </w:r>
          </w:p>
        </w:tc>
        <w:tc>
          <w:tcPr>
            <w:tcW w:w="556" w:type="pct"/>
            <w:tcBorders>
              <w:top w:val="nil"/>
              <w:left w:val="nil"/>
              <w:bottom w:val="nil"/>
              <w:right w:val="nil"/>
            </w:tcBorders>
            <w:shd w:val="clear" w:color="auto" w:fill="auto"/>
            <w:vAlign w:val="bottom"/>
          </w:tcPr>
          <w:p w14:paraId="0F050A8C" w14:textId="4618B412" w:rsidR="00CA2FD6" w:rsidRPr="00D91798" w:rsidRDefault="00CA2FD6" w:rsidP="00CA2FD6">
            <w:pPr>
              <w:pStyle w:val="Table"/>
            </w:pPr>
            <w:r>
              <w:rPr>
                <w:rFonts w:ascii="Calibri" w:hAnsi="Calibri" w:cs="Calibri"/>
                <w:color w:val="000000"/>
              </w:rPr>
              <w:t>22.8</w:t>
            </w:r>
          </w:p>
        </w:tc>
        <w:tc>
          <w:tcPr>
            <w:tcW w:w="556" w:type="pct"/>
            <w:tcBorders>
              <w:top w:val="nil"/>
              <w:left w:val="nil"/>
              <w:bottom w:val="nil"/>
              <w:right w:val="nil"/>
            </w:tcBorders>
            <w:shd w:val="clear" w:color="auto" w:fill="auto"/>
            <w:vAlign w:val="bottom"/>
          </w:tcPr>
          <w:p w14:paraId="4F724BEA" w14:textId="5253B994" w:rsidR="00CA2FD6" w:rsidRPr="00D91798" w:rsidRDefault="00CA2FD6" w:rsidP="00CA2FD6">
            <w:pPr>
              <w:pStyle w:val="Table"/>
            </w:pPr>
            <w:r>
              <w:rPr>
                <w:rFonts w:ascii="Calibri" w:hAnsi="Calibri" w:cs="Calibri"/>
                <w:color w:val="000000"/>
              </w:rPr>
              <w:t>16.5</w:t>
            </w:r>
          </w:p>
        </w:tc>
        <w:tc>
          <w:tcPr>
            <w:tcW w:w="556" w:type="pct"/>
            <w:tcBorders>
              <w:top w:val="nil"/>
              <w:left w:val="nil"/>
              <w:bottom w:val="nil"/>
              <w:right w:val="nil"/>
            </w:tcBorders>
            <w:shd w:val="clear" w:color="auto" w:fill="auto"/>
            <w:vAlign w:val="bottom"/>
          </w:tcPr>
          <w:p w14:paraId="6ED72C8B" w14:textId="27A2B0AB" w:rsidR="00CA2FD6" w:rsidRPr="00D91798" w:rsidRDefault="00CA2FD6" w:rsidP="00CA2FD6">
            <w:pPr>
              <w:pStyle w:val="Table"/>
            </w:pPr>
            <w:r>
              <w:rPr>
                <w:rFonts w:ascii="Calibri" w:hAnsi="Calibri" w:cs="Calibri"/>
                <w:color w:val="000000"/>
              </w:rPr>
              <w:t>15</w:t>
            </w:r>
          </w:p>
        </w:tc>
        <w:tc>
          <w:tcPr>
            <w:tcW w:w="556" w:type="pct"/>
            <w:tcBorders>
              <w:top w:val="nil"/>
              <w:left w:val="nil"/>
              <w:bottom w:val="nil"/>
              <w:right w:val="nil"/>
            </w:tcBorders>
            <w:shd w:val="clear" w:color="auto" w:fill="auto"/>
            <w:vAlign w:val="bottom"/>
          </w:tcPr>
          <w:p w14:paraId="4FD4B6D9" w14:textId="34FC8003" w:rsidR="00CA2FD6" w:rsidRPr="00D91798" w:rsidRDefault="00CA2FD6" w:rsidP="00CA2FD6">
            <w:pPr>
              <w:pStyle w:val="Table"/>
            </w:pPr>
            <w:r>
              <w:rPr>
                <w:rFonts w:ascii="Calibri" w:hAnsi="Calibri" w:cs="Calibri"/>
                <w:color w:val="000000"/>
              </w:rPr>
              <w:t>12</w:t>
            </w:r>
          </w:p>
        </w:tc>
      </w:tr>
      <w:tr w:rsidR="00CA2FD6" w:rsidRPr="00D91798" w14:paraId="6FD37315" w14:textId="77777777" w:rsidTr="001437B8">
        <w:trPr>
          <w:cantSplit/>
        </w:trPr>
        <w:tc>
          <w:tcPr>
            <w:tcW w:w="1107" w:type="pct"/>
          </w:tcPr>
          <w:p w14:paraId="39AE9BE1" w14:textId="77777777" w:rsidR="00CA2FD6" w:rsidRPr="00D91798" w:rsidRDefault="00CA2FD6" w:rsidP="00CA2FD6">
            <w:pPr>
              <w:pStyle w:val="Table"/>
            </w:pPr>
            <w:r w:rsidRPr="00270F7D">
              <w:t>United States</w:t>
            </w:r>
          </w:p>
        </w:tc>
        <w:tc>
          <w:tcPr>
            <w:tcW w:w="556" w:type="pct"/>
            <w:tcBorders>
              <w:top w:val="nil"/>
              <w:left w:val="nil"/>
              <w:bottom w:val="nil"/>
              <w:right w:val="nil"/>
            </w:tcBorders>
            <w:shd w:val="clear" w:color="auto" w:fill="auto"/>
            <w:vAlign w:val="bottom"/>
          </w:tcPr>
          <w:p w14:paraId="7A9EE4EB" w14:textId="6A3EF876" w:rsidR="00CA2FD6" w:rsidRPr="00D91798" w:rsidRDefault="00CA2FD6" w:rsidP="00CA2FD6">
            <w:pPr>
              <w:pStyle w:val="Table"/>
            </w:pPr>
            <w:r>
              <w:rPr>
                <w:rFonts w:ascii="Calibri" w:hAnsi="Calibri" w:cs="Calibri"/>
                <w:color w:val="000000"/>
              </w:rPr>
              <w:t>4.1</w:t>
            </w:r>
          </w:p>
        </w:tc>
        <w:tc>
          <w:tcPr>
            <w:tcW w:w="556" w:type="pct"/>
            <w:tcBorders>
              <w:top w:val="nil"/>
              <w:left w:val="nil"/>
              <w:bottom w:val="nil"/>
              <w:right w:val="nil"/>
            </w:tcBorders>
            <w:shd w:val="clear" w:color="auto" w:fill="auto"/>
            <w:vAlign w:val="bottom"/>
          </w:tcPr>
          <w:p w14:paraId="3CC117F0" w14:textId="72D1D98E" w:rsidR="00CA2FD6" w:rsidRPr="00D91798" w:rsidRDefault="00CA2FD6" w:rsidP="00CA2FD6">
            <w:pPr>
              <w:pStyle w:val="Table"/>
            </w:pPr>
            <w:r>
              <w:rPr>
                <w:rFonts w:ascii="Calibri" w:hAnsi="Calibri" w:cs="Calibri"/>
                <w:color w:val="000000"/>
              </w:rPr>
              <w:t>3</w:t>
            </w:r>
          </w:p>
        </w:tc>
        <w:tc>
          <w:tcPr>
            <w:tcW w:w="557" w:type="pct"/>
            <w:tcBorders>
              <w:top w:val="nil"/>
              <w:left w:val="nil"/>
              <w:bottom w:val="nil"/>
              <w:right w:val="nil"/>
            </w:tcBorders>
            <w:shd w:val="clear" w:color="auto" w:fill="auto"/>
            <w:vAlign w:val="bottom"/>
          </w:tcPr>
          <w:p w14:paraId="56C022BC" w14:textId="05BA1ECF" w:rsidR="00CA2FD6" w:rsidRPr="00D91798" w:rsidRDefault="00CA2FD6" w:rsidP="00CA2FD6">
            <w:pPr>
              <w:pStyle w:val="Table"/>
            </w:pPr>
            <w:r>
              <w:rPr>
                <w:rFonts w:ascii="Calibri" w:hAnsi="Calibri" w:cs="Calibri"/>
                <w:color w:val="000000"/>
              </w:rPr>
              <w:t>3</w:t>
            </w:r>
          </w:p>
        </w:tc>
        <w:tc>
          <w:tcPr>
            <w:tcW w:w="556" w:type="pct"/>
            <w:tcBorders>
              <w:top w:val="nil"/>
              <w:left w:val="nil"/>
              <w:bottom w:val="nil"/>
              <w:right w:val="nil"/>
            </w:tcBorders>
            <w:shd w:val="clear" w:color="auto" w:fill="auto"/>
            <w:vAlign w:val="bottom"/>
          </w:tcPr>
          <w:p w14:paraId="24016A41" w14:textId="418BD9EA" w:rsidR="00CA2FD6" w:rsidRPr="00D91798" w:rsidRDefault="00CA2FD6" w:rsidP="00CA2FD6">
            <w:pPr>
              <w:pStyle w:val="Table"/>
            </w:pPr>
            <w:r>
              <w:rPr>
                <w:rFonts w:ascii="Calibri" w:hAnsi="Calibri" w:cs="Calibri"/>
                <w:color w:val="000000"/>
              </w:rPr>
              <w:t>2.5</w:t>
            </w:r>
          </w:p>
        </w:tc>
        <w:tc>
          <w:tcPr>
            <w:tcW w:w="556" w:type="pct"/>
            <w:tcBorders>
              <w:top w:val="nil"/>
              <w:left w:val="nil"/>
              <w:bottom w:val="nil"/>
              <w:right w:val="nil"/>
            </w:tcBorders>
            <w:shd w:val="clear" w:color="auto" w:fill="auto"/>
            <w:vAlign w:val="bottom"/>
          </w:tcPr>
          <w:p w14:paraId="6555FEED" w14:textId="365C2D9B" w:rsidR="00CA2FD6" w:rsidRPr="00D91798" w:rsidRDefault="00CA2FD6" w:rsidP="00CA2FD6">
            <w:pPr>
              <w:pStyle w:val="Table"/>
            </w:pPr>
            <w:r>
              <w:rPr>
                <w:rFonts w:ascii="Calibri" w:hAnsi="Calibri" w:cs="Calibri"/>
                <w:color w:val="000000"/>
              </w:rPr>
              <w:t>2.1</w:t>
            </w:r>
          </w:p>
        </w:tc>
        <w:tc>
          <w:tcPr>
            <w:tcW w:w="556" w:type="pct"/>
            <w:tcBorders>
              <w:top w:val="nil"/>
              <w:left w:val="nil"/>
              <w:bottom w:val="nil"/>
              <w:right w:val="nil"/>
            </w:tcBorders>
            <w:shd w:val="clear" w:color="auto" w:fill="auto"/>
            <w:vAlign w:val="bottom"/>
          </w:tcPr>
          <w:p w14:paraId="2F21B698" w14:textId="2159557F" w:rsidR="00CA2FD6" w:rsidRPr="00D91798" w:rsidRDefault="00CA2FD6" w:rsidP="00CA2FD6">
            <w:pPr>
              <w:pStyle w:val="Table"/>
            </w:pPr>
            <w:r>
              <w:rPr>
                <w:rFonts w:ascii="Calibri" w:hAnsi="Calibri" w:cs="Calibri"/>
                <w:color w:val="000000"/>
              </w:rPr>
              <w:t>2.2</w:t>
            </w:r>
          </w:p>
        </w:tc>
        <w:tc>
          <w:tcPr>
            <w:tcW w:w="556" w:type="pct"/>
            <w:tcBorders>
              <w:top w:val="nil"/>
              <w:left w:val="nil"/>
              <w:bottom w:val="nil"/>
              <w:right w:val="nil"/>
            </w:tcBorders>
            <w:shd w:val="clear" w:color="auto" w:fill="auto"/>
            <w:vAlign w:val="bottom"/>
          </w:tcPr>
          <w:p w14:paraId="3B66BFA8" w14:textId="3A65F84B" w:rsidR="00CA2FD6" w:rsidRPr="00D91798" w:rsidRDefault="00CA2FD6" w:rsidP="00CA2FD6">
            <w:pPr>
              <w:pStyle w:val="Table"/>
            </w:pPr>
            <w:r>
              <w:rPr>
                <w:rFonts w:ascii="Calibri" w:hAnsi="Calibri" w:cs="Calibri"/>
                <w:color w:val="000000"/>
              </w:rPr>
              <w:t>2.2</w:t>
            </w:r>
          </w:p>
        </w:tc>
      </w:tr>
      <w:tr w:rsidR="00CA2FD6" w:rsidRPr="00D91798" w14:paraId="76563154" w14:textId="77777777" w:rsidTr="001437B8">
        <w:trPr>
          <w:cantSplit/>
        </w:trPr>
        <w:tc>
          <w:tcPr>
            <w:tcW w:w="1107" w:type="pct"/>
          </w:tcPr>
          <w:p w14:paraId="1DF2F1C7" w14:textId="77777777" w:rsidR="00CA2FD6" w:rsidRPr="00D91798" w:rsidRDefault="00CA2FD6" w:rsidP="00CA2FD6">
            <w:pPr>
              <w:pStyle w:val="Table"/>
            </w:pPr>
            <w:r w:rsidRPr="00270F7D">
              <w:t>Germany</w:t>
            </w:r>
          </w:p>
        </w:tc>
        <w:tc>
          <w:tcPr>
            <w:tcW w:w="556" w:type="pct"/>
            <w:tcBorders>
              <w:top w:val="nil"/>
              <w:left w:val="nil"/>
              <w:bottom w:val="nil"/>
              <w:right w:val="nil"/>
            </w:tcBorders>
            <w:shd w:val="clear" w:color="auto" w:fill="auto"/>
            <w:vAlign w:val="bottom"/>
          </w:tcPr>
          <w:p w14:paraId="0C323098" w14:textId="2E8AC5E0" w:rsidR="00CA2FD6" w:rsidRPr="00D91798" w:rsidRDefault="00CA2FD6" w:rsidP="00CA2FD6">
            <w:pPr>
              <w:pStyle w:val="Table"/>
            </w:pPr>
            <w:r>
              <w:rPr>
                <w:rFonts w:ascii="Calibri" w:hAnsi="Calibri" w:cs="Calibri"/>
                <w:color w:val="000000"/>
              </w:rPr>
              <w:t>6</w:t>
            </w:r>
          </w:p>
        </w:tc>
        <w:tc>
          <w:tcPr>
            <w:tcW w:w="556" w:type="pct"/>
            <w:tcBorders>
              <w:top w:val="nil"/>
              <w:left w:val="nil"/>
              <w:bottom w:val="nil"/>
              <w:right w:val="nil"/>
            </w:tcBorders>
            <w:shd w:val="clear" w:color="auto" w:fill="auto"/>
            <w:vAlign w:val="bottom"/>
          </w:tcPr>
          <w:p w14:paraId="7C7EEDC3" w14:textId="55FAB584" w:rsidR="00CA2FD6" w:rsidRPr="00D91798" w:rsidRDefault="00CA2FD6" w:rsidP="00CA2FD6">
            <w:pPr>
              <w:pStyle w:val="Table"/>
            </w:pPr>
            <w:r>
              <w:rPr>
                <w:rFonts w:ascii="Calibri" w:hAnsi="Calibri" w:cs="Calibri"/>
                <w:color w:val="000000"/>
              </w:rPr>
              <w:t>2.5</w:t>
            </w:r>
          </w:p>
        </w:tc>
        <w:tc>
          <w:tcPr>
            <w:tcW w:w="557" w:type="pct"/>
            <w:tcBorders>
              <w:top w:val="nil"/>
              <w:left w:val="nil"/>
              <w:bottom w:val="nil"/>
              <w:right w:val="nil"/>
            </w:tcBorders>
            <w:shd w:val="clear" w:color="auto" w:fill="auto"/>
            <w:vAlign w:val="bottom"/>
          </w:tcPr>
          <w:p w14:paraId="2C745B09" w14:textId="751C781E" w:rsidR="00CA2FD6" w:rsidRPr="00D91798" w:rsidRDefault="00CA2FD6" w:rsidP="00CA2FD6">
            <w:pPr>
              <w:pStyle w:val="Table"/>
            </w:pPr>
            <w:r>
              <w:rPr>
                <w:rFonts w:ascii="Calibri" w:hAnsi="Calibri" w:cs="Calibri"/>
                <w:color w:val="000000"/>
              </w:rPr>
              <w:t>2.1</w:t>
            </w:r>
          </w:p>
        </w:tc>
        <w:tc>
          <w:tcPr>
            <w:tcW w:w="556" w:type="pct"/>
            <w:tcBorders>
              <w:top w:val="nil"/>
              <w:left w:val="nil"/>
              <w:bottom w:val="nil"/>
              <w:right w:val="nil"/>
            </w:tcBorders>
            <w:shd w:val="clear" w:color="auto" w:fill="auto"/>
            <w:vAlign w:val="bottom"/>
          </w:tcPr>
          <w:p w14:paraId="06D5323A" w14:textId="092C92B7" w:rsidR="00CA2FD6" w:rsidRPr="00D91798" w:rsidRDefault="00CA2FD6" w:rsidP="00CA2FD6">
            <w:pPr>
              <w:pStyle w:val="Table"/>
            </w:pPr>
            <w:r>
              <w:rPr>
                <w:rFonts w:ascii="Calibri" w:hAnsi="Calibri" w:cs="Calibri"/>
                <w:color w:val="000000"/>
              </w:rPr>
              <w:t>1.9</w:t>
            </w:r>
          </w:p>
        </w:tc>
        <w:tc>
          <w:tcPr>
            <w:tcW w:w="556" w:type="pct"/>
            <w:tcBorders>
              <w:top w:val="nil"/>
              <w:left w:val="nil"/>
              <w:bottom w:val="nil"/>
              <w:right w:val="nil"/>
            </w:tcBorders>
            <w:shd w:val="clear" w:color="auto" w:fill="auto"/>
            <w:vAlign w:val="bottom"/>
          </w:tcPr>
          <w:p w14:paraId="3BF49943" w14:textId="74DA282F" w:rsidR="00CA2FD6" w:rsidRPr="00D91798" w:rsidRDefault="00CA2FD6" w:rsidP="00CA2FD6">
            <w:pPr>
              <w:pStyle w:val="Table"/>
            </w:pPr>
            <w:r>
              <w:rPr>
                <w:rFonts w:ascii="Calibri" w:hAnsi="Calibri" w:cs="Calibri"/>
                <w:color w:val="000000"/>
              </w:rPr>
              <w:t>2.1</w:t>
            </w:r>
          </w:p>
        </w:tc>
        <w:tc>
          <w:tcPr>
            <w:tcW w:w="556" w:type="pct"/>
            <w:tcBorders>
              <w:top w:val="nil"/>
              <w:left w:val="nil"/>
              <w:bottom w:val="nil"/>
              <w:right w:val="nil"/>
            </w:tcBorders>
            <w:shd w:val="clear" w:color="auto" w:fill="auto"/>
            <w:vAlign w:val="bottom"/>
          </w:tcPr>
          <w:p w14:paraId="31A8700A" w14:textId="11E13BD2" w:rsidR="00CA2FD6" w:rsidRPr="00D91798" w:rsidRDefault="00CA2FD6" w:rsidP="00CA2FD6">
            <w:pPr>
              <w:pStyle w:val="Table"/>
            </w:pPr>
            <w:r>
              <w:rPr>
                <w:rFonts w:ascii="Calibri" w:hAnsi="Calibri" w:cs="Calibri"/>
                <w:color w:val="000000"/>
              </w:rPr>
              <w:t>2.2</w:t>
            </w:r>
          </w:p>
        </w:tc>
        <w:tc>
          <w:tcPr>
            <w:tcW w:w="556" w:type="pct"/>
            <w:tcBorders>
              <w:top w:val="nil"/>
              <w:left w:val="nil"/>
              <w:bottom w:val="nil"/>
              <w:right w:val="nil"/>
            </w:tcBorders>
            <w:shd w:val="clear" w:color="auto" w:fill="auto"/>
            <w:vAlign w:val="bottom"/>
          </w:tcPr>
          <w:p w14:paraId="25DEFB2A" w14:textId="629904DF" w:rsidR="00CA2FD6" w:rsidRPr="00D91798" w:rsidRDefault="00CA2FD6" w:rsidP="00CA2FD6">
            <w:pPr>
              <w:pStyle w:val="Table"/>
            </w:pPr>
            <w:r>
              <w:rPr>
                <w:rFonts w:ascii="Calibri" w:hAnsi="Calibri" w:cs="Calibri"/>
                <w:color w:val="000000"/>
              </w:rPr>
              <w:t>2.2</w:t>
            </w:r>
          </w:p>
        </w:tc>
      </w:tr>
      <w:tr w:rsidR="00CA2FD6" w:rsidRPr="00D91798" w14:paraId="10C9B9E2" w14:textId="77777777" w:rsidTr="001437B8">
        <w:trPr>
          <w:cantSplit/>
        </w:trPr>
        <w:tc>
          <w:tcPr>
            <w:tcW w:w="1107" w:type="pct"/>
          </w:tcPr>
          <w:p w14:paraId="63AF50C2" w14:textId="77777777" w:rsidR="00CA2FD6" w:rsidRPr="00D91798" w:rsidRDefault="00CA2FD6" w:rsidP="00CA2FD6">
            <w:pPr>
              <w:pStyle w:val="Table"/>
            </w:pPr>
            <w:r w:rsidRPr="00270F7D">
              <w:t>United Kingdom</w:t>
            </w:r>
          </w:p>
        </w:tc>
        <w:tc>
          <w:tcPr>
            <w:tcW w:w="556" w:type="pct"/>
            <w:tcBorders>
              <w:top w:val="nil"/>
              <w:left w:val="nil"/>
              <w:bottom w:val="nil"/>
              <w:right w:val="nil"/>
            </w:tcBorders>
            <w:shd w:val="clear" w:color="auto" w:fill="auto"/>
            <w:vAlign w:val="bottom"/>
          </w:tcPr>
          <w:p w14:paraId="57BA1C62" w14:textId="378E1079" w:rsidR="00CA2FD6" w:rsidRPr="00D91798" w:rsidRDefault="00CA2FD6" w:rsidP="00CA2FD6">
            <w:pPr>
              <w:pStyle w:val="Table"/>
            </w:pPr>
            <w:r>
              <w:rPr>
                <w:rFonts w:ascii="Calibri" w:hAnsi="Calibri" w:cs="Calibri"/>
                <w:color w:val="000000"/>
              </w:rPr>
              <w:t>7.3</w:t>
            </w:r>
          </w:p>
        </w:tc>
        <w:tc>
          <w:tcPr>
            <w:tcW w:w="556" w:type="pct"/>
            <w:tcBorders>
              <w:top w:val="nil"/>
              <w:left w:val="nil"/>
              <w:bottom w:val="nil"/>
              <w:right w:val="nil"/>
            </w:tcBorders>
            <w:shd w:val="clear" w:color="auto" w:fill="auto"/>
            <w:vAlign w:val="bottom"/>
          </w:tcPr>
          <w:p w14:paraId="19DFC9C0" w14:textId="7B37CEC0" w:rsidR="00CA2FD6" w:rsidRPr="00D91798" w:rsidRDefault="00CA2FD6" w:rsidP="00CA2FD6">
            <w:pPr>
              <w:pStyle w:val="Table"/>
            </w:pPr>
            <w:r>
              <w:rPr>
                <w:rFonts w:ascii="Calibri" w:hAnsi="Calibri" w:cs="Calibri"/>
                <w:color w:val="000000"/>
              </w:rPr>
              <w:t>2.5</w:t>
            </w:r>
          </w:p>
        </w:tc>
        <w:tc>
          <w:tcPr>
            <w:tcW w:w="557" w:type="pct"/>
            <w:tcBorders>
              <w:top w:val="nil"/>
              <w:left w:val="nil"/>
              <w:bottom w:val="nil"/>
              <w:right w:val="nil"/>
            </w:tcBorders>
            <w:shd w:val="clear" w:color="auto" w:fill="auto"/>
            <w:vAlign w:val="bottom"/>
          </w:tcPr>
          <w:p w14:paraId="394B7EAD" w14:textId="4DB411B8" w:rsidR="00CA2FD6" w:rsidRPr="00D91798" w:rsidRDefault="00CA2FD6" w:rsidP="00CA2FD6">
            <w:pPr>
              <w:pStyle w:val="Table"/>
            </w:pPr>
            <w:r>
              <w:rPr>
                <w:rFonts w:ascii="Calibri" w:hAnsi="Calibri" w:cs="Calibri"/>
                <w:color w:val="000000"/>
              </w:rPr>
              <w:t>3.1</w:t>
            </w:r>
          </w:p>
        </w:tc>
        <w:tc>
          <w:tcPr>
            <w:tcW w:w="556" w:type="pct"/>
            <w:tcBorders>
              <w:top w:val="nil"/>
              <w:left w:val="nil"/>
              <w:bottom w:val="nil"/>
              <w:right w:val="nil"/>
            </w:tcBorders>
            <w:shd w:val="clear" w:color="auto" w:fill="auto"/>
            <w:vAlign w:val="bottom"/>
          </w:tcPr>
          <w:p w14:paraId="204787F8" w14:textId="1AF1FE91" w:rsidR="00CA2FD6" w:rsidRPr="00D91798" w:rsidRDefault="00CA2FD6" w:rsidP="00CA2FD6">
            <w:pPr>
              <w:pStyle w:val="Table"/>
            </w:pPr>
            <w:r>
              <w:rPr>
                <w:rFonts w:ascii="Calibri" w:hAnsi="Calibri" w:cs="Calibri"/>
                <w:color w:val="000000"/>
              </w:rPr>
              <w:t>2.2</w:t>
            </w:r>
          </w:p>
        </w:tc>
        <w:tc>
          <w:tcPr>
            <w:tcW w:w="556" w:type="pct"/>
            <w:tcBorders>
              <w:top w:val="nil"/>
              <w:left w:val="nil"/>
              <w:bottom w:val="nil"/>
              <w:right w:val="nil"/>
            </w:tcBorders>
            <w:shd w:val="clear" w:color="auto" w:fill="auto"/>
            <w:vAlign w:val="bottom"/>
          </w:tcPr>
          <w:p w14:paraId="7337F5C1" w14:textId="68D606A7" w:rsidR="00CA2FD6" w:rsidRPr="00D91798" w:rsidRDefault="00CA2FD6" w:rsidP="00CA2FD6">
            <w:pPr>
              <w:pStyle w:val="Table"/>
            </w:pPr>
            <w:r>
              <w:rPr>
                <w:rFonts w:ascii="Calibri" w:hAnsi="Calibri" w:cs="Calibri"/>
                <w:color w:val="000000"/>
              </w:rPr>
              <w:t>2</w:t>
            </w:r>
          </w:p>
        </w:tc>
        <w:tc>
          <w:tcPr>
            <w:tcW w:w="556" w:type="pct"/>
            <w:tcBorders>
              <w:top w:val="nil"/>
              <w:left w:val="nil"/>
              <w:bottom w:val="nil"/>
              <w:right w:val="nil"/>
            </w:tcBorders>
            <w:shd w:val="clear" w:color="auto" w:fill="auto"/>
            <w:vAlign w:val="bottom"/>
          </w:tcPr>
          <w:p w14:paraId="44DBE3F3" w14:textId="662225CC" w:rsidR="00CA2FD6" w:rsidRPr="00D91798" w:rsidRDefault="00CA2FD6" w:rsidP="00CA2FD6">
            <w:pPr>
              <w:pStyle w:val="Table"/>
            </w:pPr>
            <w:r>
              <w:rPr>
                <w:rFonts w:ascii="Calibri" w:hAnsi="Calibri" w:cs="Calibri"/>
                <w:color w:val="000000"/>
              </w:rPr>
              <w:t>2</w:t>
            </w:r>
          </w:p>
        </w:tc>
        <w:tc>
          <w:tcPr>
            <w:tcW w:w="556" w:type="pct"/>
            <w:tcBorders>
              <w:top w:val="nil"/>
              <w:left w:val="nil"/>
              <w:bottom w:val="nil"/>
              <w:right w:val="nil"/>
            </w:tcBorders>
            <w:shd w:val="clear" w:color="auto" w:fill="auto"/>
            <w:vAlign w:val="bottom"/>
          </w:tcPr>
          <w:p w14:paraId="42C4BE6A" w14:textId="71B071A1" w:rsidR="00CA2FD6" w:rsidRPr="00D91798" w:rsidRDefault="00CA2FD6" w:rsidP="00CA2FD6">
            <w:pPr>
              <w:pStyle w:val="Table"/>
            </w:pPr>
            <w:r>
              <w:rPr>
                <w:rFonts w:ascii="Calibri" w:hAnsi="Calibri" w:cs="Calibri"/>
                <w:color w:val="000000"/>
              </w:rPr>
              <w:t>2</w:t>
            </w:r>
          </w:p>
        </w:tc>
      </w:tr>
      <w:tr w:rsidR="00CA2FD6" w:rsidRPr="00D91798" w14:paraId="4594D069" w14:textId="77777777" w:rsidTr="00093FDF">
        <w:trPr>
          <w:cantSplit/>
        </w:trPr>
        <w:tc>
          <w:tcPr>
            <w:tcW w:w="1107" w:type="pct"/>
          </w:tcPr>
          <w:p w14:paraId="25ECD09F" w14:textId="77777777" w:rsidR="00CA2FD6" w:rsidRPr="00D91798" w:rsidRDefault="00CA2FD6" w:rsidP="00CA2FD6">
            <w:pPr>
              <w:pStyle w:val="Table"/>
            </w:pPr>
            <w:r w:rsidRPr="00270F7D">
              <w:lastRenderedPageBreak/>
              <w:t>China</w:t>
            </w:r>
          </w:p>
        </w:tc>
        <w:tc>
          <w:tcPr>
            <w:tcW w:w="556" w:type="pct"/>
          </w:tcPr>
          <w:p w14:paraId="090C1C1D" w14:textId="2099CAB0" w:rsidR="00CA2FD6" w:rsidRPr="00D91798" w:rsidRDefault="00CA2FD6" w:rsidP="00CA2FD6">
            <w:pPr>
              <w:pStyle w:val="Table"/>
            </w:pPr>
            <w:r>
              <w:t>2.0</w:t>
            </w:r>
          </w:p>
        </w:tc>
        <w:tc>
          <w:tcPr>
            <w:tcW w:w="556" w:type="pct"/>
          </w:tcPr>
          <w:p w14:paraId="309F286D" w14:textId="4D87DD4F" w:rsidR="00CA2FD6" w:rsidRPr="00D91798" w:rsidRDefault="00CA2FD6" w:rsidP="00CA2FD6">
            <w:pPr>
              <w:pStyle w:val="Table"/>
            </w:pPr>
            <w:r>
              <w:t>0.2</w:t>
            </w:r>
          </w:p>
        </w:tc>
        <w:tc>
          <w:tcPr>
            <w:tcW w:w="557" w:type="pct"/>
          </w:tcPr>
          <w:p w14:paraId="64DEB7A9" w14:textId="1448CE35" w:rsidR="00CA2FD6" w:rsidRPr="00D91798" w:rsidRDefault="00CA2FD6" w:rsidP="00CA2FD6">
            <w:pPr>
              <w:pStyle w:val="Table"/>
            </w:pPr>
            <w:r>
              <w:t>0.2</w:t>
            </w:r>
          </w:p>
        </w:tc>
        <w:tc>
          <w:tcPr>
            <w:tcW w:w="556" w:type="pct"/>
          </w:tcPr>
          <w:p w14:paraId="4F38B4F9" w14:textId="328F857F" w:rsidR="00CA2FD6" w:rsidRPr="00D91798" w:rsidRDefault="00CA2FD6" w:rsidP="00CA2FD6">
            <w:pPr>
              <w:pStyle w:val="Table"/>
            </w:pPr>
            <w:r>
              <w:t>0.0</w:t>
            </w:r>
          </w:p>
        </w:tc>
        <w:tc>
          <w:tcPr>
            <w:tcW w:w="556" w:type="pct"/>
          </w:tcPr>
          <w:p w14:paraId="4D83817C" w14:textId="4F6CC819" w:rsidR="00CA2FD6" w:rsidRPr="00D91798" w:rsidRDefault="00CA2FD6" w:rsidP="00CA2FD6">
            <w:pPr>
              <w:pStyle w:val="Table"/>
            </w:pPr>
            <w:r>
              <w:t>0.6</w:t>
            </w:r>
          </w:p>
        </w:tc>
        <w:tc>
          <w:tcPr>
            <w:tcW w:w="556" w:type="pct"/>
          </w:tcPr>
          <w:p w14:paraId="490B4165" w14:textId="52E19BCE" w:rsidR="00CA2FD6" w:rsidRPr="00D91798" w:rsidRDefault="00CA2FD6" w:rsidP="00CA2FD6">
            <w:pPr>
              <w:pStyle w:val="Table"/>
            </w:pPr>
            <w:r>
              <w:t>1.4</w:t>
            </w:r>
          </w:p>
        </w:tc>
        <w:tc>
          <w:tcPr>
            <w:tcW w:w="556" w:type="pct"/>
          </w:tcPr>
          <w:p w14:paraId="4FD8A73E" w14:textId="57E1ABB9" w:rsidR="00CA2FD6" w:rsidRPr="00D91798" w:rsidRDefault="00CA2FD6" w:rsidP="00CA2FD6">
            <w:pPr>
              <w:pStyle w:val="Table"/>
            </w:pPr>
            <w:r>
              <w:t>1.8</w:t>
            </w:r>
          </w:p>
        </w:tc>
      </w:tr>
      <w:tr w:rsidR="00CA2FD6" w:rsidRPr="00D91798" w14:paraId="1E816445" w14:textId="77777777" w:rsidTr="00093FDF">
        <w:trPr>
          <w:cantSplit/>
        </w:trPr>
        <w:tc>
          <w:tcPr>
            <w:tcW w:w="1107" w:type="pct"/>
          </w:tcPr>
          <w:p w14:paraId="790C32A5" w14:textId="77777777" w:rsidR="00CA2FD6" w:rsidRPr="00D91798" w:rsidRDefault="00CA2FD6" w:rsidP="00CA2FD6">
            <w:pPr>
              <w:pStyle w:val="Table"/>
            </w:pPr>
            <w:r w:rsidRPr="00270F7D">
              <w:t>Ghana</w:t>
            </w:r>
          </w:p>
        </w:tc>
        <w:tc>
          <w:tcPr>
            <w:tcW w:w="556" w:type="pct"/>
          </w:tcPr>
          <w:p w14:paraId="63FFD05C" w14:textId="19B43309" w:rsidR="00CA2FD6" w:rsidRPr="00D91798" w:rsidRDefault="00CA2FD6" w:rsidP="00CA2FD6">
            <w:pPr>
              <w:pStyle w:val="Table"/>
            </w:pPr>
            <w:r>
              <w:t>31.9</w:t>
            </w:r>
          </w:p>
        </w:tc>
        <w:tc>
          <w:tcPr>
            <w:tcW w:w="556" w:type="pct"/>
          </w:tcPr>
          <w:p w14:paraId="67E95354" w14:textId="64AAC151" w:rsidR="00CA2FD6" w:rsidRPr="00D91798" w:rsidRDefault="00CA2FD6" w:rsidP="00CA2FD6">
            <w:pPr>
              <w:pStyle w:val="Table"/>
            </w:pPr>
            <w:r>
              <w:t>39.2</w:t>
            </w:r>
          </w:p>
        </w:tc>
        <w:tc>
          <w:tcPr>
            <w:tcW w:w="557" w:type="pct"/>
          </w:tcPr>
          <w:p w14:paraId="7D2EABA8" w14:textId="77DD70C5" w:rsidR="00CA2FD6" w:rsidRPr="00D91798" w:rsidRDefault="00CA2FD6" w:rsidP="00CA2FD6">
            <w:pPr>
              <w:pStyle w:val="Table"/>
            </w:pPr>
            <w:r>
              <w:t>22.9</w:t>
            </w:r>
          </w:p>
        </w:tc>
        <w:tc>
          <w:tcPr>
            <w:tcW w:w="556" w:type="pct"/>
          </w:tcPr>
          <w:p w14:paraId="027C4CB0" w14:textId="060A2C1D" w:rsidR="00CA2FD6" w:rsidRPr="00D91798" w:rsidRDefault="00CA2FD6" w:rsidP="00CA2FD6">
            <w:pPr>
              <w:pStyle w:val="Table"/>
            </w:pPr>
            <w:r>
              <w:t>17.2</w:t>
            </w:r>
          </w:p>
        </w:tc>
        <w:tc>
          <w:tcPr>
            <w:tcW w:w="556" w:type="pct"/>
          </w:tcPr>
          <w:p w14:paraId="7596AAC4" w14:textId="2FA8782D" w:rsidR="00CA2FD6" w:rsidRPr="00D91798" w:rsidRDefault="00CA2FD6" w:rsidP="00CA2FD6">
            <w:pPr>
              <w:pStyle w:val="Table"/>
            </w:pPr>
            <w:r>
              <w:t>9.4</w:t>
            </w:r>
          </w:p>
        </w:tc>
        <w:tc>
          <w:tcPr>
            <w:tcW w:w="556" w:type="pct"/>
          </w:tcPr>
          <w:p w14:paraId="30220F34" w14:textId="25435746" w:rsidR="00CA2FD6" w:rsidRPr="00D91798" w:rsidRDefault="00CA2FD6" w:rsidP="00CA2FD6">
            <w:pPr>
              <w:pStyle w:val="Table"/>
            </w:pPr>
            <w:r>
              <w:t>8.0</w:t>
            </w:r>
          </w:p>
        </w:tc>
        <w:tc>
          <w:tcPr>
            <w:tcW w:w="556" w:type="pct"/>
          </w:tcPr>
          <w:p w14:paraId="25ADFAF6" w14:textId="698FC096" w:rsidR="00CA2FD6" w:rsidRPr="00D91798" w:rsidRDefault="00CA2FD6" w:rsidP="00CA2FD6">
            <w:pPr>
              <w:pStyle w:val="Table"/>
            </w:pPr>
            <w:r>
              <w:t>8.0</w:t>
            </w:r>
          </w:p>
        </w:tc>
      </w:tr>
      <w:tr w:rsidR="00CA2FD6" w:rsidRPr="00D91798" w14:paraId="50FA4815" w14:textId="77777777" w:rsidTr="00093FDF">
        <w:trPr>
          <w:cantSplit/>
        </w:trPr>
        <w:tc>
          <w:tcPr>
            <w:tcW w:w="1107" w:type="pct"/>
          </w:tcPr>
          <w:p w14:paraId="64F067AE" w14:textId="77777777" w:rsidR="00CA2FD6" w:rsidRPr="00D91798" w:rsidRDefault="00CA2FD6" w:rsidP="00CA2FD6">
            <w:pPr>
              <w:pStyle w:val="Table"/>
            </w:pPr>
            <w:r w:rsidRPr="00270F7D">
              <w:t>South Africa</w:t>
            </w:r>
          </w:p>
        </w:tc>
        <w:tc>
          <w:tcPr>
            <w:tcW w:w="556" w:type="pct"/>
          </w:tcPr>
          <w:p w14:paraId="75C67C63" w14:textId="28F5B44E" w:rsidR="00CA2FD6" w:rsidRPr="00D91798" w:rsidRDefault="00CA2FD6" w:rsidP="00CA2FD6">
            <w:pPr>
              <w:pStyle w:val="Table"/>
            </w:pPr>
            <w:r>
              <w:t>6.9</w:t>
            </w:r>
          </w:p>
        </w:tc>
        <w:tc>
          <w:tcPr>
            <w:tcW w:w="556" w:type="pct"/>
          </w:tcPr>
          <w:p w14:paraId="5A9EDDAC" w14:textId="07C2AAA4" w:rsidR="00CA2FD6" w:rsidRPr="00D91798" w:rsidRDefault="00CA2FD6" w:rsidP="00CA2FD6">
            <w:pPr>
              <w:pStyle w:val="Table"/>
            </w:pPr>
            <w:r>
              <w:t>5.9</w:t>
            </w:r>
          </w:p>
        </w:tc>
        <w:tc>
          <w:tcPr>
            <w:tcW w:w="557" w:type="pct"/>
          </w:tcPr>
          <w:p w14:paraId="1BAAE521" w14:textId="61E121B7" w:rsidR="00CA2FD6" w:rsidRPr="00D91798" w:rsidRDefault="00CA2FD6" w:rsidP="00CA2FD6">
            <w:pPr>
              <w:pStyle w:val="Table"/>
            </w:pPr>
            <w:r>
              <w:t>4.4</w:t>
            </w:r>
          </w:p>
        </w:tc>
        <w:tc>
          <w:tcPr>
            <w:tcW w:w="556" w:type="pct"/>
          </w:tcPr>
          <w:p w14:paraId="0624EE12" w14:textId="0293BB73" w:rsidR="00CA2FD6" w:rsidRPr="00D91798" w:rsidRDefault="00CA2FD6" w:rsidP="00CA2FD6">
            <w:pPr>
              <w:pStyle w:val="Table"/>
            </w:pPr>
            <w:r>
              <w:t>3.8</w:t>
            </w:r>
          </w:p>
        </w:tc>
        <w:tc>
          <w:tcPr>
            <w:tcW w:w="556" w:type="pct"/>
          </w:tcPr>
          <w:p w14:paraId="51CDDC2A" w14:textId="6AC1D2A8" w:rsidR="00CA2FD6" w:rsidRPr="00D91798" w:rsidRDefault="00CA2FD6" w:rsidP="00CA2FD6">
            <w:pPr>
              <w:pStyle w:val="Table"/>
            </w:pPr>
            <w:r>
              <w:t>4.5</w:t>
            </w:r>
          </w:p>
        </w:tc>
        <w:tc>
          <w:tcPr>
            <w:tcW w:w="556" w:type="pct"/>
          </w:tcPr>
          <w:p w14:paraId="618416DD" w14:textId="6838B964" w:rsidR="00CA2FD6" w:rsidRPr="00D91798" w:rsidRDefault="00CA2FD6" w:rsidP="00CA2FD6">
            <w:pPr>
              <w:pStyle w:val="Table"/>
            </w:pPr>
            <w:r>
              <w:t>4.5</w:t>
            </w:r>
          </w:p>
        </w:tc>
        <w:tc>
          <w:tcPr>
            <w:tcW w:w="556" w:type="pct"/>
          </w:tcPr>
          <w:p w14:paraId="236E13CC" w14:textId="583C5FB5" w:rsidR="00CA2FD6" w:rsidRPr="00D91798" w:rsidRDefault="00CA2FD6" w:rsidP="00CA2FD6">
            <w:pPr>
              <w:pStyle w:val="Table"/>
            </w:pPr>
            <w:r>
              <w:t>4.5</w:t>
            </w:r>
          </w:p>
        </w:tc>
      </w:tr>
      <w:tr w:rsidR="00CA2FD6" w:rsidRPr="00D91798" w14:paraId="6BCE2C43" w14:textId="77777777" w:rsidTr="00093FDF">
        <w:trPr>
          <w:cantSplit/>
        </w:trPr>
        <w:tc>
          <w:tcPr>
            <w:tcW w:w="1107" w:type="pct"/>
          </w:tcPr>
          <w:p w14:paraId="2CAC38B4" w14:textId="77777777" w:rsidR="00CA2FD6" w:rsidRPr="00D91798" w:rsidRDefault="00CA2FD6" w:rsidP="00CA2FD6">
            <w:pPr>
              <w:pStyle w:val="Table"/>
            </w:pPr>
            <w:r w:rsidRPr="00270F7D">
              <w:t>Brazil</w:t>
            </w:r>
          </w:p>
        </w:tc>
        <w:tc>
          <w:tcPr>
            <w:tcW w:w="556" w:type="pct"/>
          </w:tcPr>
          <w:p w14:paraId="66081A85" w14:textId="358A5F67" w:rsidR="00CA2FD6" w:rsidRPr="00D91798" w:rsidRDefault="00CA2FD6" w:rsidP="00CA2FD6">
            <w:pPr>
              <w:pStyle w:val="Table"/>
            </w:pPr>
            <w:r>
              <w:t>9.3</w:t>
            </w:r>
          </w:p>
        </w:tc>
        <w:tc>
          <w:tcPr>
            <w:tcW w:w="556" w:type="pct"/>
          </w:tcPr>
          <w:p w14:paraId="5FEE44F2" w14:textId="5B349AA7" w:rsidR="00CA2FD6" w:rsidRPr="00D91798" w:rsidRDefault="00CA2FD6" w:rsidP="00CA2FD6">
            <w:pPr>
              <w:pStyle w:val="Table"/>
            </w:pPr>
            <w:r>
              <w:t>4.6</w:t>
            </w:r>
          </w:p>
        </w:tc>
        <w:tc>
          <w:tcPr>
            <w:tcW w:w="557" w:type="pct"/>
          </w:tcPr>
          <w:p w14:paraId="52D7CF94" w14:textId="0DB7B9EE" w:rsidR="00CA2FD6" w:rsidRPr="00D91798" w:rsidRDefault="00CA2FD6" w:rsidP="00CA2FD6">
            <w:pPr>
              <w:pStyle w:val="Table"/>
            </w:pPr>
            <w:r>
              <w:t>4.4</w:t>
            </w:r>
          </w:p>
        </w:tc>
        <w:tc>
          <w:tcPr>
            <w:tcW w:w="556" w:type="pct"/>
          </w:tcPr>
          <w:p w14:paraId="3C434E89" w14:textId="68D4A6FD" w:rsidR="00CA2FD6" w:rsidRPr="00D91798" w:rsidRDefault="00CA2FD6" w:rsidP="00CA2FD6">
            <w:pPr>
              <w:pStyle w:val="Table"/>
            </w:pPr>
            <w:r>
              <w:t>5.3</w:t>
            </w:r>
          </w:p>
        </w:tc>
        <w:tc>
          <w:tcPr>
            <w:tcW w:w="556" w:type="pct"/>
          </w:tcPr>
          <w:p w14:paraId="7D28BB94" w14:textId="29993209" w:rsidR="00CA2FD6" w:rsidRPr="00D91798" w:rsidRDefault="00CA2FD6" w:rsidP="00CA2FD6">
            <w:pPr>
              <w:pStyle w:val="Table"/>
            </w:pPr>
            <w:r>
              <w:t>4.3</w:t>
            </w:r>
          </w:p>
        </w:tc>
        <w:tc>
          <w:tcPr>
            <w:tcW w:w="556" w:type="pct"/>
          </w:tcPr>
          <w:p w14:paraId="1EB1067E" w14:textId="696419C0" w:rsidR="00CA2FD6" w:rsidRPr="00D91798" w:rsidRDefault="00CA2FD6" w:rsidP="00CA2FD6">
            <w:pPr>
              <w:pStyle w:val="Table"/>
            </w:pPr>
            <w:r>
              <w:t>3.4</w:t>
            </w:r>
          </w:p>
        </w:tc>
        <w:tc>
          <w:tcPr>
            <w:tcW w:w="556" w:type="pct"/>
          </w:tcPr>
          <w:p w14:paraId="0852CEA4" w14:textId="5C20EE94" w:rsidR="00CA2FD6" w:rsidRPr="00D91798" w:rsidRDefault="00CA2FD6" w:rsidP="00CA2FD6">
            <w:pPr>
              <w:pStyle w:val="Table"/>
            </w:pPr>
            <w:r>
              <w:t>3.0</w:t>
            </w:r>
          </w:p>
        </w:tc>
      </w:tr>
      <w:tr w:rsidR="00CA2FD6" w:rsidRPr="00D91798" w14:paraId="25A1CA77" w14:textId="77777777" w:rsidTr="00093FDF">
        <w:trPr>
          <w:cantSplit/>
        </w:trPr>
        <w:tc>
          <w:tcPr>
            <w:tcW w:w="1107" w:type="pct"/>
          </w:tcPr>
          <w:p w14:paraId="7AA54FBE" w14:textId="74D79A13" w:rsidR="00CA2FD6" w:rsidRPr="00270F7D" w:rsidRDefault="00CA2FD6" w:rsidP="00CA2FD6">
            <w:pPr>
              <w:pStyle w:val="Table"/>
            </w:pPr>
            <w:r>
              <w:t>Angola</w:t>
            </w:r>
          </w:p>
        </w:tc>
        <w:tc>
          <w:tcPr>
            <w:tcW w:w="556" w:type="pct"/>
          </w:tcPr>
          <w:p w14:paraId="32F112C0" w14:textId="1F486267" w:rsidR="00CA2FD6" w:rsidRDefault="00CA2FD6" w:rsidP="00CA2FD6">
            <w:pPr>
              <w:pStyle w:val="Table"/>
            </w:pPr>
            <w:r>
              <w:t>21.4</w:t>
            </w:r>
          </w:p>
        </w:tc>
        <w:tc>
          <w:tcPr>
            <w:tcW w:w="556" w:type="pct"/>
          </w:tcPr>
          <w:p w14:paraId="65692AC9" w14:textId="1B6380B4" w:rsidR="00CA2FD6" w:rsidRDefault="00CA2FD6" w:rsidP="00CA2FD6">
            <w:pPr>
              <w:pStyle w:val="Table"/>
            </w:pPr>
            <w:r>
              <w:t>13.6</w:t>
            </w:r>
          </w:p>
        </w:tc>
        <w:tc>
          <w:tcPr>
            <w:tcW w:w="557" w:type="pct"/>
          </w:tcPr>
          <w:p w14:paraId="0E9B5576" w14:textId="5E084F33" w:rsidR="00CA2FD6" w:rsidRDefault="00CA2FD6" w:rsidP="00CA2FD6">
            <w:pPr>
              <w:pStyle w:val="Table"/>
            </w:pPr>
            <w:r>
              <w:t>28.2</w:t>
            </w:r>
          </w:p>
        </w:tc>
        <w:tc>
          <w:tcPr>
            <w:tcW w:w="556" w:type="pct"/>
          </w:tcPr>
          <w:p w14:paraId="782A4DAE" w14:textId="5B3AD983" w:rsidR="00CA2FD6" w:rsidRDefault="00CA2FD6" w:rsidP="00CA2FD6">
            <w:pPr>
              <w:pStyle w:val="Table"/>
            </w:pPr>
            <w:r>
              <w:t>22.0</w:t>
            </w:r>
          </w:p>
        </w:tc>
        <w:tc>
          <w:tcPr>
            <w:tcW w:w="556" w:type="pct"/>
          </w:tcPr>
          <w:p w14:paraId="09F306CC" w14:textId="58CD8380" w:rsidR="00CA2FD6" w:rsidRDefault="00CA2FD6" w:rsidP="00CA2FD6">
            <w:pPr>
              <w:pStyle w:val="Table"/>
            </w:pPr>
            <w:r>
              <w:t>16.4</w:t>
            </w:r>
          </w:p>
        </w:tc>
        <w:tc>
          <w:tcPr>
            <w:tcW w:w="556" w:type="pct"/>
          </w:tcPr>
          <w:p w14:paraId="4B5879E1" w14:textId="43DC15FA" w:rsidR="00CA2FD6" w:rsidRDefault="00CA2FD6" w:rsidP="00CA2FD6">
            <w:pPr>
              <w:pStyle w:val="Table"/>
            </w:pPr>
            <w:r>
              <w:t>11.5</w:t>
            </w:r>
          </w:p>
        </w:tc>
        <w:tc>
          <w:tcPr>
            <w:tcW w:w="556" w:type="pct"/>
          </w:tcPr>
          <w:p w14:paraId="1C48884E" w14:textId="0F53437A" w:rsidR="00CA2FD6" w:rsidRDefault="00CA2FD6" w:rsidP="00CA2FD6">
            <w:pPr>
              <w:pStyle w:val="Table"/>
            </w:pPr>
            <w:r>
              <w:t>10.0</w:t>
            </w:r>
          </w:p>
        </w:tc>
      </w:tr>
      <w:tr w:rsidR="00CA2FD6" w:rsidRPr="00D91798" w14:paraId="218A85FB" w14:textId="77777777" w:rsidTr="00093FDF">
        <w:trPr>
          <w:cantSplit/>
        </w:trPr>
        <w:tc>
          <w:tcPr>
            <w:tcW w:w="1107" w:type="pct"/>
          </w:tcPr>
          <w:p w14:paraId="4A83A870" w14:textId="71C468CC" w:rsidR="00CA2FD6" w:rsidRDefault="00CA2FD6" w:rsidP="00CA2FD6">
            <w:pPr>
              <w:pStyle w:val="Table"/>
            </w:pPr>
            <w:r>
              <w:t>Nigeria</w:t>
            </w:r>
          </w:p>
        </w:tc>
        <w:tc>
          <w:tcPr>
            <w:tcW w:w="556" w:type="pct"/>
          </w:tcPr>
          <w:p w14:paraId="37E1B817" w14:textId="5B697FDA" w:rsidR="00CA2FD6" w:rsidRDefault="00CA2FD6" w:rsidP="00CA2FD6">
            <w:pPr>
              <w:pStyle w:val="Table"/>
            </w:pPr>
            <w:r>
              <w:t>18.8</w:t>
            </w:r>
          </w:p>
        </w:tc>
        <w:tc>
          <w:tcPr>
            <w:tcW w:w="556" w:type="pct"/>
          </w:tcPr>
          <w:p w14:paraId="69602E4F" w14:textId="52A969BF" w:rsidR="00CA2FD6" w:rsidRDefault="00CA2FD6" w:rsidP="00CA2FD6">
            <w:pPr>
              <w:pStyle w:val="Table"/>
            </w:pPr>
            <w:r>
              <w:t>24.7</w:t>
            </w:r>
          </w:p>
        </w:tc>
        <w:tc>
          <w:tcPr>
            <w:tcW w:w="557" w:type="pct"/>
          </w:tcPr>
          <w:p w14:paraId="29DD7261" w14:textId="4F1DFBFD" w:rsidR="00CA2FD6" w:rsidRDefault="00CA2FD6" w:rsidP="00CA2FD6">
            <w:pPr>
              <w:pStyle w:val="Table"/>
            </w:pPr>
            <w:r>
              <w:t>33.2</w:t>
            </w:r>
          </w:p>
        </w:tc>
        <w:tc>
          <w:tcPr>
            <w:tcW w:w="556" w:type="pct"/>
          </w:tcPr>
          <w:p w14:paraId="2F79B95F" w14:textId="6BC861D8" w:rsidR="00CA2FD6" w:rsidRDefault="00CA2FD6" w:rsidP="00CA2FD6">
            <w:pPr>
              <w:pStyle w:val="Table"/>
            </w:pPr>
            <w:r>
              <w:t>26.5</w:t>
            </w:r>
          </w:p>
        </w:tc>
        <w:tc>
          <w:tcPr>
            <w:tcW w:w="556" w:type="pct"/>
          </w:tcPr>
          <w:p w14:paraId="6BC94BF3" w14:textId="4B2433DE" w:rsidR="00CA2FD6" w:rsidRDefault="00CA2FD6" w:rsidP="00CA2FD6">
            <w:pPr>
              <w:pStyle w:val="Table"/>
            </w:pPr>
            <w:r>
              <w:t>37</w:t>
            </w:r>
          </w:p>
        </w:tc>
        <w:tc>
          <w:tcPr>
            <w:tcW w:w="556" w:type="pct"/>
          </w:tcPr>
          <w:p w14:paraId="24738C56" w14:textId="1860767E" w:rsidR="00CA2FD6" w:rsidRDefault="00CA2FD6" w:rsidP="00CA2FD6">
            <w:pPr>
              <w:pStyle w:val="Table"/>
            </w:pPr>
            <w:r>
              <w:t>17.6</w:t>
            </w:r>
          </w:p>
        </w:tc>
        <w:tc>
          <w:tcPr>
            <w:tcW w:w="556" w:type="pct"/>
          </w:tcPr>
          <w:p w14:paraId="7FDB77A9" w14:textId="772E3B09" w:rsidR="00CA2FD6" w:rsidRDefault="00CA2FD6" w:rsidP="00CA2FD6">
            <w:pPr>
              <w:pStyle w:val="Table"/>
            </w:pPr>
            <w:r>
              <w:t>17.3</w:t>
            </w:r>
          </w:p>
        </w:tc>
      </w:tr>
    </w:tbl>
    <w:p w14:paraId="21917000" w14:textId="28071080" w:rsidR="00903AC3" w:rsidRPr="007A1A55" w:rsidRDefault="00093FDF" w:rsidP="007A1A55">
      <w:pPr>
        <w:pStyle w:val="NumberedParagraph"/>
        <w:numPr>
          <w:ilvl w:val="0"/>
          <w:numId w:val="0"/>
        </w:numPr>
        <w:ind w:left="567" w:hanging="567"/>
      </w:pPr>
      <w:r w:rsidRPr="00093FDF">
        <w:t>Source: IMF’s World Economic Outlook.</w:t>
      </w:r>
    </w:p>
    <w:p w14:paraId="6F301460" w14:textId="7DC7F675" w:rsidR="00093FDF" w:rsidRDefault="00903AC3" w:rsidP="00903AC3">
      <w:pPr>
        <w:pStyle w:val="Heading3"/>
        <w:ind w:left="709" w:hanging="709"/>
      </w:pPr>
      <w:bookmarkStart w:id="16" w:name="_Toc208941440"/>
      <w:r>
        <w:t>Africa</w:t>
      </w:r>
      <w:bookmarkEnd w:id="16"/>
    </w:p>
    <w:p w14:paraId="3940D4A8" w14:textId="61929699" w:rsidR="0000358A" w:rsidRDefault="0000358A" w:rsidP="0000358A">
      <w:pPr>
        <w:pStyle w:val="NumberedParagraph"/>
      </w:pPr>
      <w:r>
        <w:t>The African Economic Outlook</w:t>
      </w:r>
      <w:r w:rsidR="00207CD0">
        <w:t xml:space="preserve"> </w:t>
      </w:r>
      <w:r w:rsidR="00207CD0" w:rsidRPr="00C34D62">
        <w:t>2025</w:t>
      </w:r>
      <w:r w:rsidR="00207CD0" w:rsidRPr="00470BD8">
        <w:rPr>
          <w:rStyle w:val="FootnoteReference"/>
          <w:rFonts w:ascii="Gill Sans MT" w:hAnsi="Gill Sans MT" w:cstheme="minorHAnsi"/>
        </w:rPr>
        <w:footnoteReference w:id="2"/>
      </w:r>
      <w:r>
        <w:t>,</w:t>
      </w:r>
      <w:r w:rsidR="002A6DBF">
        <w:t xml:space="preserve"> Africa’s</w:t>
      </w:r>
      <w:r>
        <w:t xml:space="preserve"> economic performance improved in 2024, but growth remains fragile amidst multiple shocks and rising global uncertainty. Average real gross domestic product (GDP) growth picked up marginally from 3.0 per cent in 2023 to 3.3 per cent in 2024, buoyed by strong government spending and private consumption. </w:t>
      </w:r>
    </w:p>
    <w:p w14:paraId="072AFDD6" w14:textId="2FE2105C" w:rsidR="0000358A" w:rsidRDefault="003C418C" w:rsidP="0000358A">
      <w:pPr>
        <w:pStyle w:val="NumberedParagraph"/>
      </w:pPr>
      <w:r>
        <w:t>The growth uptick in 2025</w:t>
      </w:r>
      <w:r w:rsidR="0000358A">
        <w:t xml:space="preserve"> was evident in 29 of 54 African countries. In addition, 10 African countries, including Angola, Ghana, Niger, and Uganda, saw growth increases of more than 1.0 percentage points from 2023 to 2024. However, this slight improvement was overshadowed by persistent inflationary pressures, currency depreciations and high debt service costs. Deepening geopolitical fragmentation, regional conflicts, and rising global uncertainty, spurred by emerging trade policies in several countries, further cloud the outlook for the short and medium terms.</w:t>
      </w:r>
    </w:p>
    <w:p w14:paraId="1758B530" w14:textId="3DF3C9E0" w:rsidR="0000358A" w:rsidRDefault="003C418C" w:rsidP="0000358A">
      <w:pPr>
        <w:pStyle w:val="NumberedParagraph"/>
      </w:pPr>
      <w:r>
        <w:t>The IMF’s 2026</w:t>
      </w:r>
      <w:r w:rsidR="0000358A">
        <w:t xml:space="preserve"> Africa Economic Outlook underscores a critical turning point for Sub-Saharan Africa</w:t>
      </w:r>
      <w:r w:rsidR="00C34D62">
        <w:t xml:space="preserve"> (SSA)</w:t>
      </w:r>
      <w:r w:rsidR="0000358A">
        <w:t>. While the region demonstrated resilience in 2024 with growth at 4.0%, this momen</w:t>
      </w:r>
      <w:r>
        <w:t>tum has been disrupted. The 2027 projection of 4</w:t>
      </w:r>
      <w:proofErr w:type="gramStart"/>
      <w:r>
        <w:t>.</w:t>
      </w:r>
      <w:r w:rsidR="0000358A">
        <w:t>%</w:t>
      </w:r>
      <w:proofErr w:type="gramEnd"/>
      <w:r w:rsidR="0000358A">
        <w:t xml:space="preserve"> reflects heightened vulnerability due to global trade frictions, tighter financial conditions, and falling commodity prices. This deceleration threatens to stall poverty reduction efforts, widen fiscal imbalances, and erode recent developmental gains.</w:t>
      </w:r>
    </w:p>
    <w:p w14:paraId="412BBFFD" w14:textId="49D245D6" w:rsidR="0000358A" w:rsidRDefault="0000358A" w:rsidP="0000358A">
      <w:pPr>
        <w:pStyle w:val="NumberedParagraph"/>
      </w:pPr>
      <w:r>
        <w:t>A central area of concern is the region’s growi</w:t>
      </w:r>
      <w:r w:rsidR="003C418C">
        <w:t>ng debt burden. As of early 2026</w:t>
      </w:r>
      <w:r>
        <w:t xml:space="preserve">, public debt in Sub-Saharan Africa averages over 60% of GDP, and debt servicing costs have risen sharply. In many countries, debt service now absorbs more than 40% of government revenues, placing immense pressure on public budgets and crowding out vital investments in social services and infrastructure. </w:t>
      </w:r>
      <w:r w:rsidR="009955F0" w:rsidRPr="009955F0">
        <w:t>Given t</w:t>
      </w:r>
      <w:r w:rsidRPr="009955F0">
        <w:t>he reliance on non-concessional</w:t>
      </w:r>
      <w:r w:rsidR="009955F0" w:rsidRPr="009955F0">
        <w:t xml:space="preserve"> contributions,</w:t>
      </w:r>
      <w:r w:rsidRPr="009955F0">
        <w:t xml:space="preserve"> </w:t>
      </w:r>
      <w:r w:rsidR="009955F0" w:rsidRPr="009955F0">
        <w:t>t</w:t>
      </w:r>
      <w:r w:rsidRPr="009955F0">
        <w:t>he IMF outlines several key levers through</w:t>
      </w:r>
      <w:r>
        <w:t xml:space="preserve"> which governments can improve revenue performance: Broadening the tax base: Many SSA countries operate with narrow tax bases due to large informal economies. Expanding formalisation through simplified tax regimes, better data collection, and incentives for registration is essential to capturing a larger share of economic activity. Borrowing and the limited availability of long-term, affordable capital exacerbate fiscal vulnerabilities, particularly for countries without robust sovereign credit profiles.</w:t>
      </w:r>
    </w:p>
    <w:p w14:paraId="467126AD" w14:textId="3B82E416" w:rsidR="0000358A" w:rsidRDefault="0000358A" w:rsidP="0000358A">
      <w:pPr>
        <w:pStyle w:val="NumberedParagraph"/>
      </w:pPr>
      <w:r>
        <w:t>In response, the IMF stresses the urgent need for robust domestic resource mobilisation not only to restore fiscal stability but to create fiscal space for development and resilience-building. However, the current landscape reveals persistent underperformance: the average tax-to-GDP ratio in SSA remains below 16%, still below pre-pandemic levels and significantly lower than in other regions—19.3% in Asia and the Pacific, 21.5% in Latin America and the Caribbean, and 34.0% in OECD countrie</w:t>
      </w:r>
      <w:r w:rsidRPr="00011FF2">
        <w:t>s</w:t>
      </w:r>
      <w:r>
        <w:t>. This revenue shortfall limits governments’ ability to fund essential services and respond to shocks.</w:t>
      </w:r>
    </w:p>
    <w:p w14:paraId="7B46D073" w14:textId="4C3F9FD1" w:rsidR="00903AC3" w:rsidRPr="007A1A55" w:rsidRDefault="0000358A" w:rsidP="0000358A">
      <w:pPr>
        <w:pStyle w:val="NumberedParagraph"/>
      </w:pPr>
      <w:r>
        <w:lastRenderedPageBreak/>
        <w:t>Despite the potential, revenue mobilisation is not without its political and social risks. Poorly designed or regressive tax policies can increase inequality, provoke resistance, or deepen informality. As such, the IMF advocates for inclusive and progressive tax systems, underpinned by transparency, accountability, and public trust. Simultaneously, the need to build fiscal and external buffers is more urgent than ever. Reserves, contingency financing arrangements, and prudent expenditure management are critical tools for reducing vulnerability to external shocks, whether financial, climatic, or geopolitical. Countries that lack such buffers risk being forced into pro-cyclical spending cuts just when social protection and public investment are most needed.</w:t>
      </w:r>
    </w:p>
    <w:p w14:paraId="07C3084E" w14:textId="0DACD34F" w:rsidR="00903AC3" w:rsidRDefault="00903AC3" w:rsidP="00903AC3">
      <w:pPr>
        <w:pStyle w:val="Heading3"/>
        <w:ind w:left="709" w:hanging="709"/>
      </w:pPr>
      <w:bookmarkStart w:id="17" w:name="_Toc208941441"/>
      <w:r w:rsidRPr="00903AC3">
        <w:t>Nigerian Economy</w:t>
      </w:r>
      <w:bookmarkEnd w:id="17"/>
    </w:p>
    <w:p w14:paraId="2AB8A1EC" w14:textId="5402C5BB" w:rsidR="00903AC3" w:rsidRPr="00903AC3" w:rsidRDefault="00903AC3" w:rsidP="0078664B">
      <w:pPr>
        <w:pStyle w:val="Heading4"/>
      </w:pPr>
      <w:r w:rsidRPr="00903AC3">
        <w:t>Macroeconomic</w:t>
      </w:r>
    </w:p>
    <w:p w14:paraId="531972F4" w14:textId="77777777" w:rsidR="00151F13" w:rsidRDefault="00151F13" w:rsidP="00151F13">
      <w:pPr>
        <w:pStyle w:val="NumberedParagraph"/>
      </w:pPr>
      <w:r>
        <w:t>Nigeria has implemented major reforms over the last two years, which have impacted monetary and fiscal stability and economic resilience:</w:t>
      </w:r>
    </w:p>
    <w:p w14:paraId="125BEAA9" w14:textId="77777777" w:rsidR="00151F13" w:rsidRDefault="00151F13" w:rsidP="00F01635">
      <w:pPr>
        <w:pStyle w:val="ListBullet"/>
        <w:ind w:hanging="579"/>
        <w:jc w:val="both"/>
      </w:pPr>
      <w:r>
        <w:t>The Naira exchange rate has settled in the range of 1,500 to 1,600 after the harmonisation of exchange rate regimes and the free-floating of the Naira</w:t>
      </w:r>
    </w:p>
    <w:p w14:paraId="6B461E13" w14:textId="77777777" w:rsidR="00151F13" w:rsidRDefault="00151F13" w:rsidP="00F01635">
      <w:pPr>
        <w:pStyle w:val="ListBullet"/>
        <w:ind w:hanging="579"/>
        <w:jc w:val="both"/>
      </w:pPr>
      <w:r>
        <w:t>The fuel subsidy has been removed, freeing up trillions of Naira to support the budgets of Federal, State and Local Governments, and for interventions aimed at the most vulnerable</w:t>
      </w:r>
    </w:p>
    <w:p w14:paraId="7BFCA015" w14:textId="6BEFE0FA" w:rsidR="00151F13" w:rsidRDefault="00151F13" w:rsidP="00F01635">
      <w:pPr>
        <w:pStyle w:val="ListBullet"/>
        <w:ind w:hanging="579"/>
        <w:jc w:val="both"/>
      </w:pPr>
      <w:r>
        <w:t>Real GDP growth is stable, and Inflation is on a downward trend</w:t>
      </w:r>
      <w:r w:rsidR="00CD5D52">
        <w:t>.</w:t>
      </w:r>
    </w:p>
    <w:p w14:paraId="25963619" w14:textId="77777777" w:rsidR="00151F13" w:rsidRDefault="00151F13" w:rsidP="00F01635">
      <w:pPr>
        <w:pStyle w:val="ListBullet"/>
        <w:ind w:hanging="579"/>
        <w:jc w:val="both"/>
      </w:pPr>
      <w:r>
        <w:t xml:space="preserve">Crude Oil production is close to the 1.5 Million Barrels Per Day (MBPD) threshold of Nigeria’s OPEC quota.  Including lease condensates, production is close to 1.7 MBPD over the first half of 2025 </w:t>
      </w:r>
    </w:p>
    <w:p w14:paraId="0EA6294A" w14:textId="2B72EBAD" w:rsidR="00151F13" w:rsidRDefault="00081ACC" w:rsidP="00F01635">
      <w:pPr>
        <w:pStyle w:val="ListBullet"/>
        <w:ind w:hanging="579"/>
        <w:jc w:val="both"/>
      </w:pPr>
      <w:r w:rsidRPr="00D67634">
        <w:rPr>
          <w:noProof/>
          <w:lang w:val="en-US" w:eastAsia="en-US"/>
        </w:rPr>
        <w:drawing>
          <wp:anchor distT="0" distB="0" distL="114300" distR="114300" simplePos="0" relativeHeight="251662336" behindDoc="1" locked="0" layoutInCell="1" allowOverlap="1" wp14:anchorId="0E4B420D" wp14:editId="7AD54FF0">
            <wp:simplePos x="0" y="0"/>
            <wp:positionH relativeFrom="column">
              <wp:posOffset>4901565</wp:posOffset>
            </wp:positionH>
            <wp:positionV relativeFrom="paragraph">
              <wp:posOffset>20955</wp:posOffset>
            </wp:positionV>
            <wp:extent cx="1429385" cy="815340"/>
            <wp:effectExtent l="0" t="0" r="5715" b="0"/>
            <wp:wrapThrough wrapText="bothSides">
              <wp:wrapPolygon edited="0">
                <wp:start x="0" y="0"/>
                <wp:lineTo x="0" y="21196"/>
                <wp:lineTo x="21494" y="21196"/>
                <wp:lineTo x="21494" y="0"/>
                <wp:lineTo x="0" y="0"/>
              </wp:wrapPolygon>
            </wp:wrapThrough>
            <wp:docPr id="855921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21376"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29385" cy="815340"/>
                    </a:xfrm>
                    <a:prstGeom prst="rect">
                      <a:avLst/>
                    </a:prstGeom>
                    <a:effectLst>
                      <a:softEdge rad="25400"/>
                    </a:effectLst>
                  </pic:spPr>
                </pic:pic>
              </a:graphicData>
            </a:graphic>
            <wp14:sizeRelH relativeFrom="page">
              <wp14:pctWidth>0</wp14:pctWidth>
            </wp14:sizeRelH>
            <wp14:sizeRelV relativeFrom="page">
              <wp14:pctHeight>0</wp14:pctHeight>
            </wp14:sizeRelV>
          </wp:anchor>
        </w:drawing>
      </w:r>
      <w:r w:rsidR="00151F13">
        <w:t xml:space="preserve">The passage of the four Tax Acts in mid-2025 – Nigeria Tax Act 2025, Nigeria Tax Administration Act 2025, the Joint Revenue Board of Nigeria (Establishment) Act 2025 and the Nigeria Revenue Service Establishment Act 2025. These lay the foundation for improved tax administration, a fairer pro-growth tax regime, which should ultimately result in increases in economic growth and an increased Tax to GDP ratio (providing the government with more resources) over the medium term.  </w:t>
      </w:r>
    </w:p>
    <w:p w14:paraId="2A0E2639" w14:textId="77777777" w:rsidR="00155504" w:rsidRDefault="00C461F6" w:rsidP="00903AC3">
      <w:pPr>
        <w:pStyle w:val="NumberedParagraph"/>
      </w:pPr>
      <w:r w:rsidRPr="00C461F6">
        <w:t xml:space="preserve">The past 24 months have been characterised by significant policy shifts that have reshaped the macro-fiscal landscape in Nigeria – not least the free float of the Naira, the official policy of fuel subsidy (Premium Motor Spirit (PMS) Under Recovery) removal, and FGN’s movement away from using Central Bank of Nigeria (CBN) Ways and Means borrowing to fund its revenue shortfalls. These domestic policy changes have had profound impacts on the country’s macro-fiscal performance. </w:t>
      </w:r>
    </w:p>
    <w:p w14:paraId="7BDA7CF5" w14:textId="6C96CCAE" w:rsidR="00BD2CFB" w:rsidRDefault="00BD2CFB" w:rsidP="00417604">
      <w:pPr>
        <w:pStyle w:val="NumberedParagraph"/>
      </w:pPr>
      <w:r w:rsidRPr="00D67634">
        <w:rPr>
          <w:noProof/>
          <w:lang w:val="en-US" w:eastAsia="en-US"/>
        </w:rPr>
        <w:drawing>
          <wp:anchor distT="0" distB="0" distL="114300" distR="114300" simplePos="0" relativeHeight="251664384" behindDoc="1" locked="0" layoutInCell="1" allowOverlap="1" wp14:anchorId="50AC03FE" wp14:editId="6DBACA03">
            <wp:simplePos x="0" y="0"/>
            <wp:positionH relativeFrom="margin">
              <wp:posOffset>41910</wp:posOffset>
            </wp:positionH>
            <wp:positionV relativeFrom="paragraph">
              <wp:posOffset>443230</wp:posOffset>
            </wp:positionV>
            <wp:extent cx="3592830" cy="1706880"/>
            <wp:effectExtent l="0" t="0" r="1270" b="0"/>
            <wp:wrapTight wrapText="bothSides">
              <wp:wrapPolygon edited="0">
                <wp:start x="0" y="0"/>
                <wp:lineTo x="0" y="21375"/>
                <wp:lineTo x="21531" y="21375"/>
                <wp:lineTo x="21531" y="0"/>
                <wp:lineTo x="0" y="0"/>
              </wp:wrapPolygon>
            </wp:wrapTight>
            <wp:docPr id="680686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92830" cy="1706880"/>
                    </a:xfrm>
                    <a:prstGeom prst="rect">
                      <a:avLst/>
                    </a:prstGeom>
                    <a:noFill/>
                  </pic:spPr>
                </pic:pic>
              </a:graphicData>
            </a:graphic>
            <wp14:sizeRelH relativeFrom="page">
              <wp14:pctWidth>0</wp14:pctWidth>
            </wp14:sizeRelH>
            <wp14:sizeRelV relativeFrom="page">
              <wp14:pctHeight>0</wp14:pctHeight>
            </wp14:sizeRelV>
          </wp:anchor>
        </w:drawing>
      </w:r>
      <w:r w:rsidRPr="00417604">
        <w:rPr>
          <w:b/>
          <w:bCs/>
        </w:rPr>
        <w:t>Steadily increasing real GDP growth and rebased CPI inflation</w:t>
      </w:r>
      <w:r w:rsidRPr="00D67634">
        <w:t xml:space="preserve"> – after a brief dip in Quarter 1 of 2024, real GDP growth has crept up quarter by quarter over the remainder of 2024, from 2.98% in quarter 1 to 3.84% in quarter 4</w:t>
      </w:r>
      <w:r>
        <w:t xml:space="preserve"> and 3.13 in quarter 1</w:t>
      </w:r>
      <w:r w:rsidR="00CD5D52">
        <w:t>,</w:t>
      </w:r>
      <w:r>
        <w:t xml:space="preserve"> 2025</w:t>
      </w:r>
      <w:r w:rsidRPr="00D67634">
        <w:t xml:space="preserve">, providing an overall growth rate of 3.40% for 2024, up from 2.74% in 2023. Transport and financial services were two of the largest contributors to the increased growth. A slight uptick in crude oil production also provided a positive contribution (real growth in the oil sector reached 5.54% in 2024).  Worryingly, real </w:t>
      </w:r>
      <w:r>
        <w:t>a</w:t>
      </w:r>
      <w:r w:rsidRPr="00D67634">
        <w:t xml:space="preserve">griculture sector growth </w:t>
      </w:r>
      <w:r>
        <w:t>was</w:t>
      </w:r>
      <w:r w:rsidRPr="00D67634">
        <w:t xml:space="preserve"> weak at 1.19% in 2024. </w:t>
      </w:r>
    </w:p>
    <w:p w14:paraId="07F8B31A" w14:textId="5EB6BCB0" w:rsidR="00BD2CFB" w:rsidRPr="00D67634" w:rsidRDefault="00BD2CFB" w:rsidP="00C8397D">
      <w:pPr>
        <w:pStyle w:val="NumberedParagraph"/>
      </w:pPr>
      <w:r w:rsidRPr="00D67634">
        <w:rPr>
          <w:noProof/>
          <w:lang w:val="en-US" w:eastAsia="en-US"/>
        </w:rPr>
        <w:lastRenderedPageBreak/>
        <w:drawing>
          <wp:anchor distT="0" distB="0" distL="114300" distR="114300" simplePos="0" relativeHeight="251665408" behindDoc="1" locked="0" layoutInCell="1" allowOverlap="1" wp14:anchorId="21011FA3" wp14:editId="62F22C96">
            <wp:simplePos x="0" y="0"/>
            <wp:positionH relativeFrom="margin">
              <wp:posOffset>2744470</wp:posOffset>
            </wp:positionH>
            <wp:positionV relativeFrom="paragraph">
              <wp:posOffset>633276</wp:posOffset>
            </wp:positionV>
            <wp:extent cx="3605530" cy="2164715"/>
            <wp:effectExtent l="0" t="0" r="0" b="6985"/>
            <wp:wrapTight wrapText="bothSides">
              <wp:wrapPolygon edited="0">
                <wp:start x="0" y="0"/>
                <wp:lineTo x="0" y="21480"/>
                <wp:lineTo x="21455" y="21480"/>
                <wp:lineTo x="21455" y="0"/>
                <wp:lineTo x="0" y="0"/>
              </wp:wrapPolygon>
            </wp:wrapTight>
            <wp:docPr id="6045546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5530" cy="2164715"/>
                    </a:xfrm>
                    <a:prstGeom prst="rect">
                      <a:avLst/>
                    </a:prstGeom>
                    <a:noFill/>
                  </pic:spPr>
                </pic:pic>
              </a:graphicData>
            </a:graphic>
            <wp14:sizeRelH relativeFrom="page">
              <wp14:pctWidth>0</wp14:pctWidth>
            </wp14:sizeRelH>
            <wp14:sizeRelV relativeFrom="page">
              <wp14:pctHeight>0</wp14:pctHeight>
            </wp14:sizeRelV>
          </wp:anchor>
        </w:drawing>
      </w:r>
      <w:r w:rsidRPr="00D67634">
        <w:t>NBS undertook a Consumer Price Index (CPI) rebased exercise in early 2025, which has resulted in a significant drop in inflation from January 2025 onwards. The rebasing exercise, which was based on household expenditure data from surveys and administrative sources, reduced the weighting on (1) Food and Non-Alcoholic Beverages and (2) Housing, Water, Electricity, Gas and Other Fuels</w:t>
      </w:r>
      <w:r>
        <w:t>,</w:t>
      </w:r>
      <w:r w:rsidRPr="00D67634">
        <w:t xml:space="preserve"> whilst significantly increasing the weightings for (1) Transport and (2) Restaurants and Accommodation Services.  The increased weighting of transport reflects the increased price of PMS. CPI inflation had reached an all</w:t>
      </w:r>
      <w:r>
        <w:t>-</w:t>
      </w:r>
      <w:r w:rsidRPr="00D67634">
        <w:t>time high of 34.80% in December 2024, before falling back by more th</w:t>
      </w:r>
      <w:r w:rsidR="003C418C">
        <w:t>an 10% to 24.48% in January 2026</w:t>
      </w:r>
      <w:r w:rsidRPr="00D67634">
        <w:t xml:space="preserve"> - largely </w:t>
      </w:r>
      <w:r w:rsidR="00473E89" w:rsidRPr="00D67634">
        <w:t>because of</w:t>
      </w:r>
      <w:r w:rsidRPr="00D67634">
        <w:t xml:space="preserve"> the rebasing exercise. By </w:t>
      </w:r>
      <w:r>
        <w:t>July</w:t>
      </w:r>
      <w:r w:rsidRPr="00D67634">
        <w:t xml:space="preserve"> 2025, the figure had fallen to 2</w:t>
      </w:r>
      <w:r>
        <w:t>1</w:t>
      </w:r>
      <w:r w:rsidRPr="00D67634">
        <w:t>.</w:t>
      </w:r>
      <w:r>
        <w:t>88</w:t>
      </w:r>
      <w:r w:rsidRPr="00D67634">
        <w:t xml:space="preserve">% - the lowest rate </w:t>
      </w:r>
      <w:r>
        <w:t>in</w:t>
      </w:r>
      <w:r w:rsidRPr="00D67634">
        <w:t xml:space="preserve"> two years.  This drop was also assisted by the impacts of the 2024 </w:t>
      </w:r>
      <w:r>
        <w:t>N</w:t>
      </w:r>
      <w:r w:rsidRPr="00D67634">
        <w:t>aira devaluation and the removal of the fuel subsidy</w:t>
      </w:r>
      <w:r>
        <w:t>, which started</w:t>
      </w:r>
      <w:r w:rsidRPr="00D67634">
        <w:t xml:space="preserve"> </w:t>
      </w:r>
      <w:r>
        <w:t>to</w:t>
      </w:r>
      <w:r w:rsidRPr="00D67634">
        <w:t xml:space="preserve"> fall out </w:t>
      </w:r>
      <w:r w:rsidR="00473E89">
        <w:t>of</w:t>
      </w:r>
      <w:r w:rsidRPr="00D67634">
        <w:t xml:space="preserve"> the CPI inflation figures. </w:t>
      </w:r>
    </w:p>
    <w:p w14:paraId="09687A11" w14:textId="63B6AC2E" w:rsidR="00903AC3" w:rsidRDefault="00BD2CFB" w:rsidP="00BD2CFB">
      <w:pPr>
        <w:pStyle w:val="NumberedParagraph"/>
      </w:pPr>
      <w:r w:rsidRPr="00D67634">
        <w:rPr>
          <w:noProof/>
        </w:rPr>
        <w:t>To combat rising inflation, the Central Bank of Nigeria (CBN) has aggressively raised</w:t>
      </w:r>
      <w:r w:rsidR="003C418C">
        <w:rPr>
          <w:noProof/>
        </w:rPr>
        <w:t xml:space="preserve"> interest rates over the last 24</w:t>
      </w:r>
      <w:r w:rsidRPr="00D67634">
        <w:rPr>
          <w:noProof/>
        </w:rPr>
        <w:t xml:space="preserve"> months. Since the new Central Bank Governor took office, the Monetary Policy Rate (M</w:t>
      </w:r>
      <w:r w:rsidR="003C418C">
        <w:rPr>
          <w:noProof/>
        </w:rPr>
        <w:t xml:space="preserve">PR) has been increased </w:t>
      </w:r>
      <w:r w:rsidRPr="00D67634">
        <w:rPr>
          <w:noProof/>
        </w:rPr>
        <w:t xml:space="preserve"> from 18.75% before the first Monetary Policy Committee (MPC) meeting in February 2024 to 27.5% </w:t>
      </w:r>
      <w:r w:rsidR="003C418C">
        <w:rPr>
          <w:noProof/>
        </w:rPr>
        <w:t>and is currently 23.0 % as at september, 2026</w:t>
      </w:r>
      <w:r w:rsidR="003C418C">
        <w:t xml:space="preserve">. </w:t>
      </w:r>
      <w:r w:rsidR="003C418C" w:rsidRPr="003C418C">
        <w:rPr>
          <w:lang w:val="en-US"/>
        </w:rPr>
        <w:t xml:space="preserve">The reduction of Nigeria’s </w:t>
      </w:r>
      <w:r w:rsidR="003C418C" w:rsidRPr="003C418C">
        <w:rPr>
          <w:bCs/>
          <w:lang w:val="en-US"/>
        </w:rPr>
        <w:t>Monetary Policy Rate (MPR) from 26.5% to 23.0% in September 2026</w:t>
      </w:r>
      <w:r w:rsidR="003C418C" w:rsidRPr="003C418C">
        <w:rPr>
          <w:lang w:val="en-US"/>
        </w:rPr>
        <w:t xml:space="preserve"> was primarily driven by the CBN’s assessment that the monetary-policy framework needed to be </w:t>
      </w:r>
      <w:r w:rsidR="003C418C" w:rsidRPr="003C418C">
        <w:rPr>
          <w:bCs/>
          <w:lang w:val="en-US"/>
        </w:rPr>
        <w:t>recalibrated to reflect prevailing market conditions</w:t>
      </w:r>
      <w:r w:rsidR="003C418C" w:rsidRPr="003C418C">
        <w:rPr>
          <w:lang w:val="en-US"/>
        </w:rPr>
        <w:t>, alongside improving inflation and broader macroeconomic conditions</w:t>
      </w:r>
      <w:r w:rsidRPr="00D67634">
        <w:t xml:space="preserve"> </w:t>
      </w:r>
    </w:p>
    <w:p w14:paraId="0FDE29FD" w14:textId="1F3264AA" w:rsidR="0095518B" w:rsidRPr="00D67634" w:rsidRDefault="0095518B" w:rsidP="0095518B">
      <w:pPr>
        <w:pStyle w:val="NumberedParagraph"/>
      </w:pPr>
      <w:r w:rsidRPr="00D67634">
        <w:rPr>
          <w:noProof/>
          <w:lang w:val="en-US" w:eastAsia="en-US"/>
        </w:rPr>
        <w:drawing>
          <wp:anchor distT="0" distB="0" distL="114300" distR="114300" simplePos="0" relativeHeight="251667456" behindDoc="1" locked="0" layoutInCell="1" allowOverlap="1" wp14:anchorId="58FD7A5E" wp14:editId="0F4C4F7A">
            <wp:simplePos x="0" y="0"/>
            <wp:positionH relativeFrom="column">
              <wp:posOffset>22135</wp:posOffset>
            </wp:positionH>
            <wp:positionV relativeFrom="paragraph">
              <wp:posOffset>438785</wp:posOffset>
            </wp:positionV>
            <wp:extent cx="3630295" cy="2207260"/>
            <wp:effectExtent l="0" t="0" r="8255" b="2540"/>
            <wp:wrapTight wrapText="bothSides">
              <wp:wrapPolygon edited="0">
                <wp:start x="0" y="0"/>
                <wp:lineTo x="0" y="21438"/>
                <wp:lineTo x="21536" y="21438"/>
                <wp:lineTo x="21536" y="0"/>
                <wp:lineTo x="0" y="0"/>
              </wp:wrapPolygon>
            </wp:wrapTight>
            <wp:docPr id="1204524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0295" cy="2207260"/>
                    </a:xfrm>
                    <a:prstGeom prst="rect">
                      <a:avLst/>
                    </a:prstGeom>
                    <a:noFill/>
                  </pic:spPr>
                </pic:pic>
              </a:graphicData>
            </a:graphic>
            <wp14:sizeRelH relativeFrom="page">
              <wp14:pctWidth>0</wp14:pctWidth>
            </wp14:sizeRelH>
            <wp14:sizeRelV relativeFrom="page">
              <wp14:pctHeight>0</wp14:pctHeight>
            </wp14:sizeRelV>
          </wp:anchor>
        </w:drawing>
      </w:r>
      <w:r w:rsidRPr="00D67634">
        <w:rPr>
          <w:b/>
          <w:bCs/>
        </w:rPr>
        <w:t>Stabilisation of the Exchange Rate</w:t>
      </w:r>
      <w:r w:rsidRPr="00D67634">
        <w:t xml:space="preserve"> –after years of multiple exchange rates and the fixing on the official exchange rate far above its market value, the free float of the Naira by the Central Bank of Nigeria (CBN) in mid-2023 saw a series of devaluations that took the Naira from N460 to the US Dollar (USD) in May 2023 to N1</w:t>
      </w:r>
      <w:proofErr w:type="gramStart"/>
      <w:r w:rsidRPr="00D67634">
        <w:t>,600</w:t>
      </w:r>
      <w:proofErr w:type="gramEnd"/>
      <w:r w:rsidRPr="00D67634">
        <w:t xml:space="preserve"> to the U</w:t>
      </w:r>
      <w:r w:rsidR="005A1A55">
        <w:t>SD by mid-2024. Over the last 24</w:t>
      </w:r>
      <w:r w:rsidRPr="00D67634">
        <w:t xml:space="preserve"> months, the rate has </w:t>
      </w:r>
      <w:r w:rsidR="005A1A55">
        <w:t>stabilised in the region of N1</w:t>
      </w:r>
      <w:proofErr w:type="gramStart"/>
      <w:r w:rsidR="005A1A55">
        <w:t>,330</w:t>
      </w:r>
      <w:proofErr w:type="gramEnd"/>
      <w:r w:rsidRPr="00D67634">
        <w:t xml:space="preserve"> to N1,600, with foreign re</w:t>
      </w:r>
      <w:r w:rsidR="005A1A55">
        <w:t>serves of $54.9</w:t>
      </w:r>
      <w:r w:rsidRPr="00D67634">
        <w:t>billion. The devaluation has had multiple knock-on economic and fiscal implications – as noted above, inflation surged as the price of imported goods increase</w:t>
      </w:r>
      <w:r>
        <w:t>d,</w:t>
      </w:r>
      <w:r w:rsidRPr="00D67634">
        <w:t xml:space="preserve"> not least PMS, which was also subject to the removal of the subsidy. Foreign debt service costs of Federal and State governments, as well as the naira valuation of foreign debt stocks</w:t>
      </w:r>
      <w:r w:rsidR="009164EF">
        <w:t>,</w:t>
      </w:r>
      <w:r>
        <w:t xml:space="preserve"> are other impact points</w:t>
      </w:r>
      <w:r w:rsidRPr="00D67634">
        <w:t xml:space="preserve">.  </w:t>
      </w:r>
    </w:p>
    <w:p w14:paraId="0B00999C" w14:textId="4A7BD2BB" w:rsidR="00B8346D" w:rsidRPr="00D67634" w:rsidRDefault="00B8346D" w:rsidP="00B8346D">
      <w:pPr>
        <w:pStyle w:val="NumberedParagraph"/>
      </w:pPr>
      <w:r w:rsidRPr="00D67634">
        <w:rPr>
          <w:noProof/>
          <w:lang w:val="en-US" w:eastAsia="en-US"/>
        </w:rPr>
        <w:lastRenderedPageBreak/>
        <w:drawing>
          <wp:anchor distT="0" distB="0" distL="114300" distR="114300" simplePos="0" relativeHeight="251669504" behindDoc="1" locked="0" layoutInCell="1" allowOverlap="1" wp14:anchorId="50139F3D" wp14:editId="10F767E1">
            <wp:simplePos x="0" y="0"/>
            <wp:positionH relativeFrom="margin">
              <wp:posOffset>2713355</wp:posOffset>
            </wp:positionH>
            <wp:positionV relativeFrom="paragraph">
              <wp:posOffset>1227455</wp:posOffset>
            </wp:positionV>
            <wp:extent cx="3575685" cy="2140585"/>
            <wp:effectExtent l="0" t="0" r="5715" b="0"/>
            <wp:wrapTight wrapText="bothSides">
              <wp:wrapPolygon edited="0">
                <wp:start x="0" y="0"/>
                <wp:lineTo x="0" y="21337"/>
                <wp:lineTo x="21519" y="21337"/>
                <wp:lineTo x="21519" y="0"/>
                <wp:lineTo x="0" y="0"/>
              </wp:wrapPolygon>
            </wp:wrapTight>
            <wp:docPr id="1343418455" name="Picture 2" descr="A graph of oil prices and prod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18455" name="Picture 2" descr="A graph of oil prices and productio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75685" cy="2140585"/>
                    </a:xfrm>
                    <a:prstGeom prst="rect">
                      <a:avLst/>
                    </a:prstGeom>
                    <a:noFill/>
                  </pic:spPr>
                </pic:pic>
              </a:graphicData>
            </a:graphic>
          </wp:anchor>
        </w:drawing>
      </w:r>
      <w:r w:rsidRPr="00D67634">
        <w:rPr>
          <w:b/>
          <w:bCs/>
        </w:rPr>
        <w:t xml:space="preserve">Flat Crude Oil Price, slight uptick in Crude Oil Production – </w:t>
      </w:r>
      <w:r w:rsidRPr="00D67634">
        <w:t>after the brief spike in crude oil prices in mid-2022 as a result of the conflict in Ukraine (Bonny Light reached a high of $125.22 per barrel in June 2022), prices quickly fell back below the $100 mark by August 2022 as the global economy slowed and demand for crude oil followed suite. Tensions in the Middle East from late 2023 also saw the prices move back towards $100 barrels per day</w:t>
      </w:r>
      <w:r>
        <w:t>; however,</w:t>
      </w:r>
      <w:r w:rsidRPr="00D67634">
        <w:t xml:space="preserve"> this was short-lived.  The price of Bonny Light has been fluctuatin</w:t>
      </w:r>
      <w:r w:rsidR="001437B8">
        <w:t>g within the range of $65 to $103</w:t>
      </w:r>
      <w:r w:rsidRPr="00D67634">
        <w:t xml:space="preserve"> p</w:t>
      </w:r>
      <w:r w:rsidR="001437B8">
        <w:t xml:space="preserve">er barrel </w:t>
      </w:r>
      <w:proofErr w:type="gramStart"/>
      <w:r w:rsidR="001437B8">
        <w:t>( as</w:t>
      </w:r>
      <w:proofErr w:type="gramEnd"/>
      <w:r w:rsidR="001437B8">
        <w:t xml:space="preserve"> at September,2026)</w:t>
      </w:r>
      <w:r w:rsidRPr="00D67634">
        <w:t xml:space="preserve">, with occasional swings of up to $10 in a single day as a result of incidents and political statements related to the ongoing Middle East conflict. </w:t>
      </w:r>
    </w:p>
    <w:p w14:paraId="3111A81A" w14:textId="77777777" w:rsidR="00B8346D" w:rsidRPr="00D67634" w:rsidRDefault="00B8346D" w:rsidP="00B8346D">
      <w:pPr>
        <w:pStyle w:val="NumberedParagraph"/>
      </w:pPr>
      <w:r w:rsidRPr="00D67634">
        <w:t xml:space="preserve">Crude Oil Production (including lease condensate) has averaged around 1.675 Million Barrels per day (MBPD) over the first six months of 2025, according to figures published by the </w:t>
      </w:r>
      <w:hyperlink r:id="rId20" w:history="1">
        <w:r w:rsidRPr="00D67634">
          <w:rPr>
            <w:rStyle w:val="Hyperlink"/>
          </w:rPr>
          <w:t>Nigeria Upstream Petroleum Regulation Commission (NUPRC)</w:t>
        </w:r>
      </w:hyperlink>
      <w:r w:rsidRPr="00D67634">
        <w:t xml:space="preserve">.  These figures are consistent with those published by the </w:t>
      </w:r>
      <w:hyperlink r:id="rId21" w:history="1">
        <w:r w:rsidRPr="00D67634">
          <w:rPr>
            <w:rStyle w:val="Hyperlink"/>
          </w:rPr>
          <w:t>US Energy Information Administration (EIA)</w:t>
        </w:r>
      </w:hyperlink>
      <w:r w:rsidRPr="00D67634">
        <w:t xml:space="preserve"> and the </w:t>
      </w:r>
      <w:hyperlink r:id="rId22" w:history="1">
        <w:r w:rsidRPr="00D67634">
          <w:rPr>
            <w:rStyle w:val="Hyperlink"/>
          </w:rPr>
          <w:t>Organisation of Petroleum Exporting Countries (OPEC)</w:t>
        </w:r>
      </w:hyperlink>
      <w:r w:rsidRPr="00D67634">
        <w:t xml:space="preserve">.  </w:t>
      </w:r>
    </w:p>
    <w:p w14:paraId="5AE54407" w14:textId="0B65B8DA" w:rsidR="002A0623" w:rsidRDefault="001437B8" w:rsidP="002A0623">
      <w:pPr>
        <w:pStyle w:val="NumberedParagraph"/>
      </w:pPr>
      <w:r>
        <w:t>The 2026</w:t>
      </w:r>
      <w:r w:rsidR="00B8346D" w:rsidRPr="00D67634">
        <w:t xml:space="preserve"> production figure of 1.675 MBPD is higher than the 1.47 MBPD produced in 2023 and 1.55 MBPD in 2024. Around 250,000 barrels of Nigeria’s production are in the form of lease condensate, which does not count towards its 1.5 MBPD OPEC (Organisation of Oil Exporting Countries) production quota. Nigeria is seeking to increase its output to 2.0 MBPD by 2027 amid expectations that production will move closer to its capacity of 2.4MBPD, as stated by the Nigerian National Petroleum Company (NNPC). </w:t>
      </w:r>
    </w:p>
    <w:p w14:paraId="13B6BF8E" w14:textId="6708E27A" w:rsidR="002A0623" w:rsidRPr="00D67634" w:rsidRDefault="002A0623" w:rsidP="002A0623">
      <w:pPr>
        <w:pStyle w:val="NumberedParagraph"/>
      </w:pPr>
      <w:r w:rsidRPr="00D67634">
        <w:rPr>
          <w:noProof/>
          <w:lang w:val="en-US" w:eastAsia="en-US"/>
        </w:rPr>
        <w:drawing>
          <wp:anchor distT="0" distB="0" distL="114300" distR="114300" simplePos="0" relativeHeight="251675648" behindDoc="1" locked="0" layoutInCell="1" allowOverlap="1" wp14:anchorId="68565B6A" wp14:editId="53FDD5B0">
            <wp:simplePos x="0" y="0"/>
            <wp:positionH relativeFrom="margin">
              <wp:posOffset>2621177</wp:posOffset>
            </wp:positionH>
            <wp:positionV relativeFrom="paragraph">
              <wp:posOffset>288839</wp:posOffset>
            </wp:positionV>
            <wp:extent cx="3618230" cy="2332355"/>
            <wp:effectExtent l="0" t="0" r="1270" b="0"/>
            <wp:wrapTight wrapText="bothSides">
              <wp:wrapPolygon edited="0">
                <wp:start x="0" y="0"/>
                <wp:lineTo x="0" y="21347"/>
                <wp:lineTo x="21494" y="21347"/>
                <wp:lineTo x="21494" y="0"/>
                <wp:lineTo x="0" y="0"/>
              </wp:wrapPolygon>
            </wp:wrapTight>
            <wp:docPr id="19934584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8230" cy="2332355"/>
                    </a:xfrm>
                    <a:prstGeom prst="rect">
                      <a:avLst/>
                    </a:prstGeom>
                    <a:noFill/>
                  </pic:spPr>
                </pic:pic>
              </a:graphicData>
            </a:graphic>
          </wp:anchor>
        </w:drawing>
      </w:r>
      <w:r w:rsidRPr="002A0623">
        <w:rPr>
          <w:b/>
          <w:bCs/>
        </w:rPr>
        <w:t xml:space="preserve">Decreased reliance on Crude Oil revenues – </w:t>
      </w:r>
      <w:r w:rsidRPr="00D67634">
        <w:t xml:space="preserve">the trend in the makeup of Federation Account revenues over the last ten years shows a clear reduction </w:t>
      </w:r>
      <w:r>
        <w:t>of government dependence</w:t>
      </w:r>
      <w:r w:rsidRPr="00D67634">
        <w:t xml:space="preserve"> on mineral sector revenues. This has been both as a result of periods of suppressed global crude oil prices, a sustained period of lower production (less than 1.5 MBPD), as well as the strong growth in non-mineral revenues (far outstripping nominal GDP growth). The increase in the VAT rate from 5% to 7.5% also boosted VAT collections. </w:t>
      </w:r>
    </w:p>
    <w:p w14:paraId="385799DF" w14:textId="51A05CCE" w:rsidR="002A0623" w:rsidRPr="00D67634" w:rsidRDefault="002A0623" w:rsidP="002A0623">
      <w:pPr>
        <w:pStyle w:val="NumberedParagraph"/>
      </w:pPr>
      <w:r w:rsidRPr="00D67634">
        <w:t xml:space="preserve">However, there is still a need to maximise the benefit of Nigeria’s crude oil reserves </w:t>
      </w:r>
      <w:r w:rsidR="0044582A">
        <w:t>to</w:t>
      </w:r>
      <w:r w:rsidRPr="00D67634">
        <w:t xml:space="preserve"> create fiscal space for critical economic and social structure investments and to boost funding for critical service delivery.</w:t>
      </w:r>
    </w:p>
    <w:p w14:paraId="212C9120" w14:textId="5C0E9932" w:rsidR="004C477B" w:rsidRPr="00D67634" w:rsidRDefault="004C477B" w:rsidP="004C477B">
      <w:pPr>
        <w:pStyle w:val="NumberedParagraph"/>
      </w:pPr>
      <w:r w:rsidRPr="00D67634">
        <w:rPr>
          <w:noProof/>
          <w:lang w:val="en-US" w:eastAsia="en-US"/>
        </w:rPr>
        <w:lastRenderedPageBreak/>
        <w:drawing>
          <wp:anchor distT="0" distB="0" distL="114300" distR="114300" simplePos="0" relativeHeight="251671552" behindDoc="1" locked="0" layoutInCell="1" allowOverlap="1" wp14:anchorId="7ADDFD7B" wp14:editId="6DEC2B82">
            <wp:simplePos x="0" y="0"/>
            <wp:positionH relativeFrom="margin">
              <wp:align>left</wp:align>
            </wp:positionH>
            <wp:positionV relativeFrom="paragraph">
              <wp:posOffset>392430</wp:posOffset>
            </wp:positionV>
            <wp:extent cx="3602990" cy="2177415"/>
            <wp:effectExtent l="0" t="0" r="0" b="0"/>
            <wp:wrapTight wrapText="bothSides">
              <wp:wrapPolygon edited="0">
                <wp:start x="0" y="0"/>
                <wp:lineTo x="0" y="21354"/>
                <wp:lineTo x="21471" y="21354"/>
                <wp:lineTo x="21471" y="0"/>
                <wp:lineTo x="0" y="0"/>
              </wp:wrapPolygon>
            </wp:wrapTight>
            <wp:docPr id="905666199" name="Picture 15" descr="A graph with green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66199" name="Picture 15" descr="A graph with green and orange bar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2990" cy="2177415"/>
                    </a:xfrm>
                    <a:prstGeom prst="rect">
                      <a:avLst/>
                    </a:prstGeom>
                    <a:noFill/>
                  </pic:spPr>
                </pic:pic>
              </a:graphicData>
            </a:graphic>
            <wp14:sizeRelH relativeFrom="margin">
              <wp14:pctWidth>0</wp14:pctWidth>
            </wp14:sizeRelH>
            <wp14:sizeRelV relativeFrom="margin">
              <wp14:pctHeight>0</wp14:pctHeight>
            </wp14:sizeRelV>
          </wp:anchor>
        </w:drawing>
      </w:r>
      <w:r w:rsidRPr="00D67634">
        <w:rPr>
          <w:b/>
          <w:bCs/>
        </w:rPr>
        <w:t xml:space="preserve">Reductions in distributable non-Mineral revenues </w:t>
      </w:r>
      <w:r w:rsidRPr="00D67634">
        <w:t xml:space="preserve">- a significant proportion of CIT and Customs revenues have been deducted from FAAC as “Excess Non-Mineral” over the last 18 months, meaning the growth levels for the gross revenue receipts noted above have not been reflected in Statutory Allocation distributions. The “Excess” deductions are to be made when the revenue in the month exceeds 1/12 of the budgeted revenue in the FGN annual </w:t>
      </w:r>
      <w:r w:rsidR="005C607F" w:rsidRPr="00D67634">
        <w:t>budget and</w:t>
      </w:r>
      <w:r w:rsidRPr="00D67634">
        <w:t xml:space="preserve"> are intended to be used to augment distributions in the months when actual revenues fall short of the budget. However, what has been observed in terms of deductions and distributions of Excess Non-Mineral do</w:t>
      </w:r>
      <w:r>
        <w:t>es</w:t>
      </w:r>
      <w:r w:rsidRPr="00D67634">
        <w:t xml:space="preserve"> not appear to be made in a system</w:t>
      </w:r>
      <w:r>
        <w:t>at</w:t>
      </w:r>
      <w:r w:rsidRPr="00D67634">
        <w:t xml:space="preserve">ic manner – rather, they have been used to fund various initiatives, including the share of signature bonuses to States, </w:t>
      </w:r>
      <w:r>
        <w:t>different</w:t>
      </w:r>
      <w:r w:rsidRPr="00D67634">
        <w:t xml:space="preserve"> infrastructure and security initiatives, etc.  </w:t>
      </w:r>
    </w:p>
    <w:p w14:paraId="45C83DC9" w14:textId="77777777" w:rsidR="004C477B" w:rsidRPr="00D67634" w:rsidRDefault="004C477B" w:rsidP="004C477B">
      <w:pPr>
        <w:pStyle w:val="NumberedParagraph"/>
      </w:pPr>
      <w:r w:rsidRPr="00D67634">
        <w:t xml:space="preserve">In 2024, a total of N6.9 trillion was deducted as Excess Non-Mineral, whilst a meagre N100 billion was distributed. In the first six months of 2025, N3.16 trillion has been deducted.   </w:t>
      </w:r>
    </w:p>
    <w:p w14:paraId="67A79511" w14:textId="77777777" w:rsidR="00D86235" w:rsidRDefault="004C477B" w:rsidP="00CD7263">
      <w:pPr>
        <w:pStyle w:val="NumberedParagraph"/>
      </w:pPr>
      <w:r w:rsidRPr="00D67634">
        <w:t xml:space="preserve">To put these figures into context, the total collection for gross CIT and Customs in the first half of 2025 was N4.85 trillion. So, 65% of the gross accrued revenue has been deducted as excess non-mineral. </w:t>
      </w:r>
    </w:p>
    <w:p w14:paraId="5708C800" w14:textId="616C467F" w:rsidR="00D86235" w:rsidRDefault="00CD7263" w:rsidP="00D86235">
      <w:pPr>
        <w:pStyle w:val="NumberedParagraph"/>
      </w:pPr>
      <w:r w:rsidRPr="00D67634">
        <w:rPr>
          <w:b/>
          <w:bCs/>
          <w:noProof/>
          <w:lang w:val="en-US" w:eastAsia="en-US"/>
        </w:rPr>
        <w:drawing>
          <wp:anchor distT="0" distB="0" distL="114300" distR="114300" simplePos="0" relativeHeight="251673600" behindDoc="1" locked="0" layoutInCell="1" allowOverlap="1" wp14:anchorId="5DD319ED" wp14:editId="53B1BEEC">
            <wp:simplePos x="0" y="0"/>
            <wp:positionH relativeFrom="column">
              <wp:posOffset>2668270</wp:posOffset>
            </wp:positionH>
            <wp:positionV relativeFrom="paragraph">
              <wp:posOffset>508635</wp:posOffset>
            </wp:positionV>
            <wp:extent cx="3592830" cy="4309110"/>
            <wp:effectExtent l="0" t="0" r="7620" b="0"/>
            <wp:wrapTight wrapText="bothSides">
              <wp:wrapPolygon edited="0">
                <wp:start x="0" y="0"/>
                <wp:lineTo x="0" y="21485"/>
                <wp:lineTo x="21531" y="21485"/>
                <wp:lineTo x="21531" y="0"/>
                <wp:lineTo x="0" y="0"/>
              </wp:wrapPolygon>
            </wp:wrapTight>
            <wp:docPr id="328049538" name="Picture 17"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049538" name="Picture 17" descr="A screenshot of a graph&#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92830" cy="4309110"/>
                    </a:xfrm>
                    <a:prstGeom prst="rect">
                      <a:avLst/>
                    </a:prstGeom>
                    <a:noFill/>
                  </pic:spPr>
                </pic:pic>
              </a:graphicData>
            </a:graphic>
          </wp:anchor>
        </w:drawing>
      </w:r>
      <w:r w:rsidRPr="00CD7263">
        <w:rPr>
          <w:b/>
          <w:bCs/>
        </w:rPr>
        <w:t xml:space="preserve">Exchange Gain </w:t>
      </w:r>
      <w:r w:rsidRPr="00D67634">
        <w:t xml:space="preserve">– the market exchange rates in 2024 were significantly above the benchmark rates in the FGN 2024-2026 MTEF-FSP document, as a result of the devaluations of the naira as discussed earlier in this section.  </w:t>
      </w:r>
    </w:p>
    <w:p w14:paraId="29D4EFBA" w14:textId="123003A7" w:rsidR="00CD7263" w:rsidRPr="00D67634" w:rsidRDefault="00CD7263" w:rsidP="00D86235">
      <w:pPr>
        <w:pStyle w:val="NumberedParagraph"/>
      </w:pPr>
      <w:r w:rsidRPr="00D67634">
        <w:t>This resulted in higher</w:t>
      </w:r>
      <w:r>
        <w:t>-</w:t>
      </w:r>
      <w:r w:rsidRPr="00D67634">
        <w:t>than</w:t>
      </w:r>
      <w:r>
        <w:t>-</w:t>
      </w:r>
      <w:r w:rsidRPr="00D67634">
        <w:t>forecast revenues from transactions based on foreign currencies (imports and exports)</w:t>
      </w:r>
      <w:r>
        <w:t>. T</w:t>
      </w:r>
      <w:r w:rsidRPr="00D67634">
        <w:t xml:space="preserve">his “windfall” is separated from the underlying revenue sources (e.g. Mineral Revenue, Customs, </w:t>
      </w:r>
      <w:proofErr w:type="spellStart"/>
      <w:r w:rsidRPr="00D67634">
        <w:t>etc</w:t>
      </w:r>
      <w:proofErr w:type="spellEnd"/>
      <w:r w:rsidRPr="00D67634">
        <w:t xml:space="preserve">) and presented as “Exchange Gain Mineral” and “Exchange Gain Non-Mineral” in the monthly FAAC Schedule 1. </w:t>
      </w:r>
    </w:p>
    <w:p w14:paraId="7E035A95" w14:textId="2E739C97" w:rsidR="00903AC3" w:rsidRPr="007A78D8" w:rsidRDefault="00CD7263" w:rsidP="007A78D8">
      <w:pPr>
        <w:pStyle w:val="NumberedParagraph"/>
      </w:pPr>
      <w:r w:rsidRPr="00D67634">
        <w:t xml:space="preserve">Exchange Gains, particularly for Mineral revenues, </w:t>
      </w:r>
      <w:r w:rsidR="00044C32">
        <w:t>were</w:t>
      </w:r>
      <w:r w:rsidRPr="00D67634">
        <w:t xml:space="preserve"> a significant contributor to Federation Account revenues in 2024. A total of N5.86 trillion was distributed as Exchange Gain in 2024 (N4.83 trillion as Mineral and N1.02 trillion as Non-Mineral). However, as the exchange rate benchmark for 2025 was set close to the market rate (1,500 to the USD), the increased revenues from the deviations are now </w:t>
      </w:r>
      <w:r>
        <w:t>captured mainly</w:t>
      </w:r>
      <w:r w:rsidRPr="00D67634">
        <w:t xml:space="preserve"> under the standard revenue streams (mineral, CIT and C&amp;E) (albeit there have been some minor exchange gain distributions in the second quarter of 2025).</w:t>
      </w:r>
    </w:p>
    <w:p w14:paraId="1AFA922F" w14:textId="1BF9E183" w:rsidR="005F5C0D" w:rsidRDefault="006329EA" w:rsidP="005F5C0D">
      <w:pPr>
        <w:pStyle w:val="Heading3"/>
        <w:ind w:left="709" w:hanging="709"/>
      </w:pPr>
      <w:bookmarkStart w:id="18" w:name="_Toc208941442"/>
      <w:r>
        <w:lastRenderedPageBreak/>
        <w:t xml:space="preserve">Benue </w:t>
      </w:r>
      <w:r w:rsidR="005F5C0D" w:rsidRPr="005F5C0D">
        <w:t>State Economy</w:t>
      </w:r>
      <w:bookmarkEnd w:id="18"/>
    </w:p>
    <w:p w14:paraId="5CBE262C" w14:textId="77777777" w:rsidR="00072292" w:rsidRDefault="00072292" w:rsidP="00072292">
      <w:pPr>
        <w:pStyle w:val="NumberedParagraph"/>
      </w:pPr>
      <w:r>
        <w:t xml:space="preserve">Benue State, located in Nigeria’s North Central region, boasts a predominantly agrarian economy and is widely recognised as the “Food Basket of the Nation.” Its fertile land, favourable climate, and </w:t>
      </w:r>
      <w:r w:rsidRPr="009955F0">
        <w:t>proximity to the Benue River have positioned it as a leading producer of staple crops and a key</w:t>
      </w:r>
      <w:r>
        <w:t xml:space="preserve"> contributor to Nigeria’s agricultural output.</w:t>
      </w:r>
    </w:p>
    <w:p w14:paraId="05CB3BA2" w14:textId="7B228AB9" w:rsidR="00072292" w:rsidRDefault="00072292" w:rsidP="00072292">
      <w:pPr>
        <w:pStyle w:val="NumberedParagraph"/>
      </w:pPr>
      <w:r>
        <w:t xml:space="preserve">Agriculture is the backbone of Benue’s economy, engaging a majority of the population and contributing significantly to state revenue. Major crops include yams, cassava, maize, rice, and soya beans, with Benue accounting for over 70% of Nigeria’s total soya bean production. The state also produces millet, sorghum, potatoes, and legumes. While subsistence farming remains common, there is a growing shift toward commercial agriculture and </w:t>
      </w:r>
      <w:r w:rsidR="0044582A">
        <w:t>agro-processing</w:t>
      </w:r>
      <w:r>
        <w:t>, supported by government initiatives and private investment.</w:t>
      </w:r>
    </w:p>
    <w:p w14:paraId="60BB5A91" w14:textId="77777777" w:rsidR="00072292" w:rsidRDefault="00072292" w:rsidP="00072292">
      <w:pPr>
        <w:pStyle w:val="NumberedParagraph"/>
      </w:pPr>
      <w:r>
        <w:t xml:space="preserve">Benue’s industrial sector is modest but expanding, with activities centred around food processing, mining, textiles, furniture production, and construction materials. </w:t>
      </w:r>
      <w:proofErr w:type="spellStart"/>
      <w:r>
        <w:t>Makurdi</w:t>
      </w:r>
      <w:proofErr w:type="spellEnd"/>
      <w:r>
        <w:t xml:space="preserve">, the state capital, serves as the primary commercial hub, followed by </w:t>
      </w:r>
      <w:proofErr w:type="spellStart"/>
      <w:r>
        <w:t>Gboko</w:t>
      </w:r>
      <w:proofErr w:type="spellEnd"/>
      <w:r>
        <w:t xml:space="preserve"> and </w:t>
      </w:r>
      <w:proofErr w:type="spellStart"/>
      <w:r>
        <w:t>Otukpo</w:t>
      </w:r>
      <w:proofErr w:type="spellEnd"/>
      <w:r>
        <w:t>, which facilitate trade in agricultural produce and local crafts. Efforts to develop agro-industrial parks and attract investment in manufacturing are ongoing.</w:t>
      </w:r>
    </w:p>
    <w:p w14:paraId="0E8E46AB" w14:textId="77777777" w:rsidR="00072292" w:rsidRDefault="00072292" w:rsidP="00072292">
      <w:pPr>
        <w:pStyle w:val="NumberedParagraph"/>
      </w:pPr>
      <w:r>
        <w:t xml:space="preserve">The state is endowed with a variety of solid minerals, including limestone, clay, gypsum, </w:t>
      </w:r>
      <w:proofErr w:type="spellStart"/>
      <w:r>
        <w:t>baryte</w:t>
      </w:r>
      <w:proofErr w:type="spellEnd"/>
      <w:r>
        <w:t>, coal, and lead. However, the mining sector remains underdeveloped due to limited infrastructure and investment. The government has identified this sector as a strategic area for diversification and is encouraging exploration and private sector participation.</w:t>
      </w:r>
    </w:p>
    <w:p w14:paraId="0339C75F" w14:textId="77777777" w:rsidR="00072292" w:rsidRDefault="00072292" w:rsidP="00072292">
      <w:pPr>
        <w:pStyle w:val="NumberedParagraph"/>
      </w:pPr>
      <w:r>
        <w:t>With an estimated GDP of ₦8.08 trillion based on the recently released data from NBS as of 2023, Benue ranks 11th among Nigeria’s 36 states and holds the largest economy in the North Central region, trailing only Niger State. It also boasts the highest per capita GDP in the region, reflecting its strong agricultural base and growing commercial activity.</w:t>
      </w:r>
    </w:p>
    <w:p w14:paraId="5AA2324B" w14:textId="77777777" w:rsidR="00072292" w:rsidRDefault="00072292" w:rsidP="00072292">
      <w:pPr>
        <w:pStyle w:val="NumberedParagraph"/>
      </w:pPr>
      <w:r>
        <w:t>Despite its strengths, Benue faces several economic challenges, including inadequate rural infrastructure, limited access to agricultural financing, underutilization of mineral resources, and periodic herder invasions that disrupt farming activities. These issues hinder productivity and investment.</w:t>
      </w:r>
    </w:p>
    <w:p w14:paraId="4802DBD7" w14:textId="77777777" w:rsidR="00072292" w:rsidRDefault="00072292" w:rsidP="00072292">
      <w:pPr>
        <w:pStyle w:val="NumberedParagraph"/>
      </w:pPr>
      <w:r>
        <w:t>In terms of growth opportunities, Benue State has significant potential for economic expansion through:</w:t>
      </w:r>
    </w:p>
    <w:p w14:paraId="409CC234" w14:textId="04478D42" w:rsidR="00072292" w:rsidRDefault="00072292" w:rsidP="00FF0260">
      <w:pPr>
        <w:pStyle w:val="NumberedParagraph"/>
        <w:numPr>
          <w:ilvl w:val="0"/>
          <w:numId w:val="20"/>
        </w:numPr>
      </w:pPr>
      <w:r>
        <w:t>Development of agro-processing and value chains</w:t>
      </w:r>
    </w:p>
    <w:p w14:paraId="58D32B51" w14:textId="77777777" w:rsidR="00072292" w:rsidRDefault="00072292" w:rsidP="00FF0260">
      <w:pPr>
        <w:pStyle w:val="NumberedParagraph"/>
        <w:numPr>
          <w:ilvl w:val="0"/>
          <w:numId w:val="20"/>
        </w:numPr>
      </w:pPr>
      <w:r>
        <w:t>Investment in solid minerals and mining infrastructure</w:t>
      </w:r>
    </w:p>
    <w:p w14:paraId="3831A7E1" w14:textId="77777777" w:rsidR="00072292" w:rsidRDefault="00072292" w:rsidP="00FF0260">
      <w:pPr>
        <w:pStyle w:val="NumberedParagraph"/>
        <w:numPr>
          <w:ilvl w:val="0"/>
          <w:numId w:val="20"/>
        </w:numPr>
      </w:pPr>
      <w:r>
        <w:t>Promotion of tourism and cultural heritage</w:t>
      </w:r>
    </w:p>
    <w:p w14:paraId="64023A54" w14:textId="77777777" w:rsidR="00072292" w:rsidRDefault="00072292" w:rsidP="00FF0260">
      <w:pPr>
        <w:pStyle w:val="NumberedParagraph"/>
        <w:numPr>
          <w:ilvl w:val="0"/>
          <w:numId w:val="20"/>
        </w:numPr>
      </w:pPr>
      <w:r>
        <w:t>Expansion of the digital economy and youth entrepreneurship</w:t>
      </w:r>
    </w:p>
    <w:p w14:paraId="362021E9" w14:textId="13900661" w:rsidR="005F5C0D" w:rsidRPr="00072292" w:rsidRDefault="00072292" w:rsidP="00FF0260">
      <w:pPr>
        <w:pStyle w:val="NumberedParagraph"/>
        <w:numPr>
          <w:ilvl w:val="0"/>
          <w:numId w:val="20"/>
        </w:numPr>
      </w:pPr>
      <w:r>
        <w:t>Strengthening of Public-Private Partnerships in key sectors</w:t>
      </w:r>
    </w:p>
    <w:p w14:paraId="766E61A3" w14:textId="4FAC3C46" w:rsidR="005F5C0D" w:rsidRDefault="005F5C0D" w:rsidP="005F5C0D">
      <w:pPr>
        <w:pStyle w:val="Heading2"/>
        <w:ind w:left="709" w:hanging="709"/>
      </w:pPr>
      <w:bookmarkStart w:id="19" w:name="_Toc208941443"/>
      <w:r w:rsidRPr="005F5C0D">
        <w:t>Fiscal Update</w:t>
      </w:r>
      <w:bookmarkEnd w:id="19"/>
    </w:p>
    <w:p w14:paraId="1D913182" w14:textId="170AE083" w:rsidR="005F5C0D" w:rsidRDefault="005F5C0D" w:rsidP="005F5C0D">
      <w:pPr>
        <w:pStyle w:val="Heading3"/>
        <w:ind w:left="709" w:hanging="709"/>
      </w:pPr>
      <w:bookmarkStart w:id="20" w:name="_Toc208941444"/>
      <w:r w:rsidRPr="005F5C0D">
        <w:t>Historic Trends</w:t>
      </w:r>
      <w:bookmarkEnd w:id="20"/>
    </w:p>
    <w:p w14:paraId="1753B54B" w14:textId="2D29CD3E" w:rsidR="005F5C0D" w:rsidRDefault="005F5C0D" w:rsidP="0078664B">
      <w:pPr>
        <w:pStyle w:val="Heading4"/>
      </w:pPr>
      <w:r w:rsidRPr="005F5C0D">
        <w:t>Revenue Side</w:t>
      </w:r>
    </w:p>
    <w:p w14:paraId="37B38071" w14:textId="57C96163" w:rsidR="005F5C0D" w:rsidRDefault="005F5C0D" w:rsidP="005F5C0D">
      <w:pPr>
        <w:pStyle w:val="NumberedParagraph"/>
      </w:pPr>
      <w:r w:rsidRPr="005F5C0D">
        <w:t>On the revenue side, the document looks at Statutory Allocation, VAT, IGR, Excess Crude, and Capital Receipts – budget versus actual for the period 20</w:t>
      </w:r>
      <w:r w:rsidR="00231A21">
        <w:t>19</w:t>
      </w:r>
      <w:r w:rsidRPr="005F5C0D">
        <w:t>-20</w:t>
      </w:r>
      <w:r w:rsidR="00C30A3D">
        <w:t>24</w:t>
      </w:r>
      <w:r w:rsidRPr="005F5C0D">
        <w:t xml:space="preserve"> (six</w:t>
      </w:r>
      <w:r w:rsidR="00C30A3D">
        <w:t>-</w:t>
      </w:r>
      <w:r w:rsidRPr="005F5C0D">
        <w:t>year historic) and 20</w:t>
      </w:r>
      <w:r w:rsidR="00C30A3D">
        <w:t>25</w:t>
      </w:r>
      <w:r w:rsidRPr="005F5C0D">
        <w:t xml:space="preserve"> budget.</w:t>
      </w:r>
    </w:p>
    <w:p w14:paraId="004E8ED9" w14:textId="5ABC8137" w:rsidR="005F5C0D" w:rsidRDefault="005F5C0D" w:rsidP="005F5C0D">
      <w:pPr>
        <w:pStyle w:val="Caption"/>
      </w:pPr>
      <w:bookmarkStart w:id="21" w:name="_Toc208941460"/>
      <w:r>
        <w:lastRenderedPageBreak/>
        <w:t xml:space="preserve">Figure </w:t>
      </w:r>
      <w:fldSimple w:instr=" SEQ Figure \* ARABIC ">
        <w:r w:rsidR="00F60625">
          <w:rPr>
            <w:noProof/>
          </w:rPr>
          <w:t>2</w:t>
        </w:r>
      </w:fldSimple>
      <w:r>
        <w:t xml:space="preserve">: </w:t>
      </w:r>
      <w:r w:rsidRPr="005F5C0D">
        <w:t>Statutory Allocation</w:t>
      </w:r>
      <w:bookmarkEnd w:id="21"/>
    </w:p>
    <w:p w14:paraId="2EC8211A" w14:textId="28B8284F" w:rsidR="00A267A0" w:rsidRPr="00A267A0" w:rsidRDefault="005D7EBF" w:rsidP="00A267A0">
      <w:r>
        <w:rPr>
          <w:noProof/>
          <w:lang w:val="en-US" w:eastAsia="en-US"/>
        </w:rPr>
        <w:drawing>
          <wp:inline distT="0" distB="0" distL="0" distR="0" wp14:anchorId="3BEF20B6" wp14:editId="66D6BCE0">
            <wp:extent cx="6120130" cy="2675890"/>
            <wp:effectExtent l="0" t="0" r="1270" b="3810"/>
            <wp:docPr id="6079986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98603" name=""/>
                    <pic:cNvPicPr/>
                  </pic:nvPicPr>
                  <pic:blipFill>
                    <a:blip r:embed="rId26">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7"/>
                        </a:ext>
                      </a:extLst>
                    </a:blip>
                    <a:stretch>
                      <a:fillRect/>
                    </a:stretch>
                  </pic:blipFill>
                  <pic:spPr>
                    <a:xfrm>
                      <a:off x="0" y="0"/>
                      <a:ext cx="6120130" cy="2675890"/>
                    </a:xfrm>
                    <a:prstGeom prst="rect">
                      <a:avLst/>
                    </a:prstGeom>
                  </pic:spPr>
                </pic:pic>
              </a:graphicData>
            </a:graphic>
          </wp:inline>
        </w:drawing>
      </w:r>
    </w:p>
    <w:p w14:paraId="0C9C4F7A" w14:textId="38A02FA8" w:rsidR="00132CB5" w:rsidRDefault="00132CB5" w:rsidP="00132CB5">
      <w:pPr>
        <w:pStyle w:val="NumberedParagraph"/>
      </w:pPr>
      <w:r>
        <w:t xml:space="preserve">Figure 2 titled “Benue State FAAC Statutory Allocation Budget vs Actual: 2019–2025” shows the statutory allocation budgeted by Benue State against what was </w:t>
      </w:r>
      <w:r w:rsidR="001C7BED">
        <w:t>received</w:t>
      </w:r>
      <w:r>
        <w:t xml:space="preserve"> over the seven </w:t>
      </w:r>
      <w:r w:rsidR="001C7BED">
        <w:t>years</w:t>
      </w:r>
      <w:r>
        <w:t>. In 2019, the state budgeted ₦58.12 billion but received only ₦46.17 billion, resulting in a performance rate of 79.4%. In 2020, the budget dropped significantly to ₦28.1 billion, but actual allocation also fell to ₦38 billion, though relatively higher than the budgeted</w:t>
      </w:r>
      <w:r w:rsidR="00044C32">
        <w:t xml:space="preserve"> amount</w:t>
      </w:r>
      <w:r>
        <w:t>. However, the reduction caused a negative growth rate of -17.68% compared to the previous year. This decline</w:t>
      </w:r>
      <w:r w:rsidR="00044C32">
        <w:t xml:space="preserve"> was due</w:t>
      </w:r>
      <w:r>
        <w:t xml:space="preserve"> </w:t>
      </w:r>
      <w:r w:rsidR="00044C32">
        <w:t xml:space="preserve">to the </w:t>
      </w:r>
      <w:r>
        <w:t>broader macroeconomic challenges</w:t>
      </w:r>
      <w:r w:rsidR="00044C32">
        <w:t>,</w:t>
      </w:r>
      <w:r>
        <w:t xml:space="preserve"> such as reduced national revenue inflows or external shocks like the COVID-19 pandemic. The performance gap persisted into 2021, where</w:t>
      </w:r>
      <w:r w:rsidR="001C7BED">
        <w:t>,</w:t>
      </w:r>
      <w:r>
        <w:t xml:space="preserve"> although the budget increased to ₦41.6 billion, actual receipts were ₦39.7 billion, showing a slight recovery with 95.7% performance and a 4.47% growth rate</w:t>
      </w:r>
    </w:p>
    <w:p w14:paraId="1E4B0AB7" w14:textId="7B2F4459" w:rsidR="005F5C0D" w:rsidRPr="00873869" w:rsidRDefault="00132CB5" w:rsidP="00132CB5">
      <w:pPr>
        <w:pStyle w:val="NumberedParagraph"/>
      </w:pPr>
      <w:r>
        <w:t xml:space="preserve">From 2022 to 2023, the trend of modest gains continued. In 2022, Benue State budgeted approximately ₦34.3 billion but received ₦42.57 billion, reflecting a surplus leading to </w:t>
      </w:r>
      <w:r w:rsidR="001C7BED">
        <w:t>a growth</w:t>
      </w:r>
      <w:r>
        <w:t xml:space="preserve"> rate of 7.21%. Similarly, in 2023, the budget was ₦36.44 billion with actual receipts of ₦44.6 billion, yielding a performance rate of 124.3% and 122.5% </w:t>
      </w:r>
      <w:r w:rsidR="005065B2">
        <w:t>performance</w:t>
      </w:r>
      <w:r>
        <w:t xml:space="preserve"> for 2022 and 2023</w:t>
      </w:r>
      <w:r w:rsidR="001C7BED">
        <w:t>,</w:t>
      </w:r>
      <w:r>
        <w:t xml:space="preserve"> respectively. These led to growth rates of 7.21% and 4.82% respectively. The years suggest improvement in actual allocations, over and above the State’s budgetary expectations. However, the budget ballooned to approximately ₦97.8 billion in 2024, yet actual receipts stood at only ₦16.9 billion, representing a drastic decline in revenue growth by -62.09% and the widest gap between budget and actual allocation across the observed period. This sharp discrepancy points to either over-ambitious budget projections, structural fiscal constraints, or severe </w:t>
      </w:r>
      <w:r w:rsidR="005065B2">
        <w:t xml:space="preserve">statutory allocation </w:t>
      </w:r>
      <w:r>
        <w:t>shortfalls from the federa</w:t>
      </w:r>
      <w:r w:rsidR="005065B2">
        <w:t>tion</w:t>
      </w:r>
      <w:r>
        <w:t xml:space="preserve"> allocation pool. By 2025, the budget projection increased to ₦201 billion. If historical patterns persist, the State may face funding gaps. The data shows the need for more conservative and evidence-based budgeting, enhanced revenue diversification, and prudent fiscal reforms to align expectations with fiscal realities.</w:t>
      </w:r>
    </w:p>
    <w:p w14:paraId="1E691187" w14:textId="08F52657" w:rsidR="005F5C0D" w:rsidRDefault="005F5C0D" w:rsidP="005F5C0D">
      <w:pPr>
        <w:pStyle w:val="Caption"/>
      </w:pPr>
      <w:bookmarkStart w:id="22" w:name="_Toc208941461"/>
      <w:r>
        <w:lastRenderedPageBreak/>
        <w:t xml:space="preserve">Figure </w:t>
      </w:r>
      <w:fldSimple w:instr=" SEQ Figure \* ARABIC ">
        <w:r w:rsidR="00F60625">
          <w:rPr>
            <w:noProof/>
          </w:rPr>
          <w:t>3</w:t>
        </w:r>
      </w:fldSimple>
      <w:r>
        <w:t>: VAT</w:t>
      </w:r>
      <w:bookmarkEnd w:id="22"/>
    </w:p>
    <w:p w14:paraId="03E13268" w14:textId="69235C6A" w:rsidR="00A267A0" w:rsidRPr="00A267A0" w:rsidRDefault="00A236A2" w:rsidP="00A267A0">
      <w:r>
        <w:rPr>
          <w:noProof/>
          <w:lang w:val="en-US" w:eastAsia="en-US"/>
        </w:rPr>
        <w:drawing>
          <wp:inline distT="0" distB="0" distL="0" distR="0" wp14:anchorId="0C9D4862" wp14:editId="2C4763E3">
            <wp:extent cx="6120130" cy="3279140"/>
            <wp:effectExtent l="0" t="0" r="1270" b="0"/>
            <wp:docPr id="9930453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45347" name=""/>
                    <pic:cNvPicPr/>
                  </pic:nvPicPr>
                  <pic:blipFill>
                    <a:blip r:embed="rId28">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9"/>
                        </a:ext>
                      </a:extLst>
                    </a:blip>
                    <a:stretch>
                      <a:fillRect/>
                    </a:stretch>
                  </pic:blipFill>
                  <pic:spPr>
                    <a:xfrm>
                      <a:off x="0" y="0"/>
                      <a:ext cx="6120130" cy="3279140"/>
                    </a:xfrm>
                    <a:prstGeom prst="rect">
                      <a:avLst/>
                    </a:prstGeom>
                  </pic:spPr>
                </pic:pic>
              </a:graphicData>
            </a:graphic>
          </wp:inline>
        </w:drawing>
      </w:r>
    </w:p>
    <w:p w14:paraId="7C1FF39A" w14:textId="07296EDD" w:rsidR="005443E9" w:rsidRDefault="005443E9" w:rsidP="005443E9">
      <w:pPr>
        <w:pStyle w:val="NumberedParagraph"/>
      </w:pPr>
      <w:r>
        <w:t>Figure 4 titled “Benue State VAT Budget vs Actual: 2019–2025” presents the State’s projected Value Added Tax (VAT) revenues and the actual amounts received across the period. This graph shows a consistent pattern of actual revenues surpassing budget projections in most years, indicating conservative budgeting and stronger-than-expected VAT collections. In 2019, the State budgeted about ₦14.96 billion but received ₦13.14 billion, translating to a performance rate of 87.8%</w:t>
      </w:r>
      <w:r w:rsidR="005065B2">
        <w:t>.</w:t>
      </w:r>
      <w:r>
        <w:t xml:space="preserve"> However, </w:t>
      </w:r>
      <w:r w:rsidR="005065B2">
        <w:t>in</w:t>
      </w:r>
      <w:r>
        <w:t xml:space="preserve"> 2020, a remarkable shift occurred. The budget was conservatively pegged at approximately ₦7.58 billion, while actual VAT receipts surged to ₦15.97 billion, representing a staggering 210.6% performance rate. This marked improvement continued into 2021, where the budget stood at ₦13.8 billion while actual VAT receipts hit approximately ₦22.28 billion, reflecting 161.5% performance and strong annual growth of 39.53%. </w:t>
      </w:r>
    </w:p>
    <w:p w14:paraId="188553B4" w14:textId="0FD192AB" w:rsidR="005F5C0D" w:rsidRPr="00132CB5" w:rsidRDefault="005443E9" w:rsidP="005443E9">
      <w:pPr>
        <w:pStyle w:val="NumberedParagraph"/>
      </w:pPr>
      <w:r>
        <w:t xml:space="preserve">From 2022 through 2024, the upward trend in VAT collections persisted. In 2022, actual receipts (₦27.14 billion) exceeded the ₦22.37 billion budget, yielding a performance rate of 121.3%. Similarly, in 2023, VAT collections soared to ₦37.63 billion against a ₦26.00 billion budget, maintaining a strong performance rate of 144.7% with impressive growth of 38.66%. The most striking year was 2024, </w:t>
      </w:r>
      <w:r w:rsidR="005065B2">
        <w:t>when</w:t>
      </w:r>
      <w:r>
        <w:t xml:space="preserve"> actual VAT revenues nearly tripled the projection. Against a budget of ₦26.0 billion, the State received ₦73.1 billion, an extraordinary performance of 281.2% and growth of 94.33%. This massive jump explains the increasing centrality of VAT as a dependable and buoyant revenue source, particularly when compared to statutory allocations, which suffered sharp underperformance in the same year. For 2025, the budget projects a massive ₦73.9 billion in VAT revenues, closely aligned with the 2024 actual receipts. A general observation is that, except for 2019, the actual VAT collections significantly exceeded projections, pointing to a more reliable and buoyant revenue stream for the State compared to statutory allocations.</w:t>
      </w:r>
    </w:p>
    <w:p w14:paraId="5ECABE47" w14:textId="16DCF3E2" w:rsidR="005F5C0D" w:rsidRDefault="005F5C0D" w:rsidP="005F5C0D">
      <w:pPr>
        <w:pStyle w:val="Caption"/>
      </w:pPr>
      <w:bookmarkStart w:id="23" w:name="_Toc208941462"/>
      <w:r>
        <w:lastRenderedPageBreak/>
        <w:t xml:space="preserve">Figure </w:t>
      </w:r>
      <w:fldSimple w:instr=" SEQ Figure \* ARABIC ">
        <w:r w:rsidR="00F60625">
          <w:rPr>
            <w:noProof/>
          </w:rPr>
          <w:t>4</w:t>
        </w:r>
      </w:fldSimple>
      <w:r>
        <w:t>: IGR</w:t>
      </w:r>
      <w:bookmarkEnd w:id="23"/>
    </w:p>
    <w:p w14:paraId="434F3840" w14:textId="57FC8A3D" w:rsidR="00A267A0" w:rsidRPr="00A267A0" w:rsidRDefault="00EB122C" w:rsidP="00A267A0">
      <w:r>
        <w:rPr>
          <w:noProof/>
          <w:lang w:val="en-US" w:eastAsia="en-US"/>
        </w:rPr>
        <w:drawing>
          <wp:inline distT="0" distB="0" distL="0" distR="0" wp14:anchorId="0E5031B0" wp14:editId="5ECC77C4">
            <wp:extent cx="6297930" cy="3386820"/>
            <wp:effectExtent l="0" t="0" r="7620" b="4445"/>
            <wp:docPr id="20866137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13710" name=""/>
                    <pic:cNvPicPr/>
                  </pic:nvPicPr>
                  <pic:blipFill>
                    <a:blip r:embed="rId30">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1"/>
                        </a:ext>
                      </a:extLst>
                    </a:blip>
                    <a:stretch>
                      <a:fillRect/>
                    </a:stretch>
                  </pic:blipFill>
                  <pic:spPr>
                    <a:xfrm>
                      <a:off x="0" y="0"/>
                      <a:ext cx="6297930" cy="3386820"/>
                    </a:xfrm>
                    <a:prstGeom prst="rect">
                      <a:avLst/>
                    </a:prstGeom>
                  </pic:spPr>
                </pic:pic>
              </a:graphicData>
            </a:graphic>
          </wp:inline>
        </w:drawing>
      </w:r>
    </w:p>
    <w:p w14:paraId="50C66682" w14:textId="5E1341C2" w:rsidR="005F5C0D" w:rsidRPr="00132CB5" w:rsidRDefault="00250547" w:rsidP="005F5C0D">
      <w:pPr>
        <w:pStyle w:val="NumberedParagraph"/>
      </w:pPr>
      <w:r w:rsidRPr="00250547">
        <w:t xml:space="preserve">Figure 4 titled “Benue State IGR Budget vs Actual: 2019–2025” shows the State’s Internally Generated Revenue (IGR) performance over the period. In 2019, Benue State set a high revenue target of ₦37.43 billion but managed to collect only ₦17.18 billion, reflecting a performance rate of 45.9%. Consequently, the situation in 2020 saw a much lower budgeted IGR of ₦14.44 billion, perhaps in recognition of previous underperformance and the expected economic disruptions of the COVID-19 pandemic. Actual collections stood at ₦10.16 billion, yielding a performance rate of 72.4%, which, although still below target, reflected more realistic projections. However, growth compared to the previous year was sharply negative at -39.09%, showing the severe impact of economic contraction and reduced economic activities on IGR. From 2021 to 2023, IGR performance showed modest improvements, but budget-expectation mismatches persisted. In 2021, the budget was ₦19.76 billion, with actual collections of ₦12.6 billion, giving a performance rate of 63.8% and a positive growth of 20.43% compared to 2020. By 2022, the budget increased again to ₦37.66 billion, but actual collections were only ₦15.01 billion, pushing performance down to 39.9%, </w:t>
      </w:r>
      <w:proofErr w:type="gramStart"/>
      <w:r w:rsidRPr="00250547">
        <w:t>the</w:t>
      </w:r>
      <w:proofErr w:type="gramEnd"/>
      <w:r w:rsidRPr="00250547">
        <w:t xml:space="preserve"> lowest across the observed years. In 2023, the budget target was ₦29.04 billion, with actual collections of ₦19.2 billion, marking a better performance rate of 66.1% and growth of 27.88%, indicating gradual improvements in collection efficiency or expansion of the taxable base.</w:t>
      </w:r>
      <w:r w:rsidR="00011FF2">
        <w:t xml:space="preserve"> In 2024 IGR was budgeted at </w:t>
      </w:r>
      <w:r w:rsidR="00834DD1" w:rsidRPr="00250547">
        <w:t>₦</w:t>
      </w:r>
      <w:r w:rsidR="00834DD1">
        <w:t xml:space="preserve">23.9 billion, which saw receipts of </w:t>
      </w:r>
      <w:r w:rsidR="00834DD1" w:rsidRPr="00250547">
        <w:t>₦</w:t>
      </w:r>
      <w:r w:rsidR="00834DD1">
        <w:t>20.9 billion representing 87.5% performance. This indicates 8.96 growth over the previous year.</w:t>
      </w:r>
    </w:p>
    <w:p w14:paraId="22D58976" w14:textId="64438B22" w:rsidR="005F5C0D" w:rsidRDefault="005F5C0D" w:rsidP="005F5C0D">
      <w:pPr>
        <w:pStyle w:val="Caption"/>
      </w:pPr>
      <w:bookmarkStart w:id="24" w:name="_Toc208941463"/>
      <w:r>
        <w:lastRenderedPageBreak/>
        <w:t xml:space="preserve">Figure </w:t>
      </w:r>
      <w:fldSimple w:instr=" SEQ Figure \* ARABIC ">
        <w:r w:rsidR="00F60625">
          <w:rPr>
            <w:noProof/>
          </w:rPr>
          <w:t>5</w:t>
        </w:r>
      </w:fldSimple>
      <w:r>
        <w:t xml:space="preserve">: </w:t>
      </w:r>
      <w:r w:rsidR="00457B62">
        <w:t>Other Federation Account Re</w:t>
      </w:r>
      <w:r w:rsidR="00BD71F7">
        <w:t>ceipts</w:t>
      </w:r>
      <w:bookmarkEnd w:id="24"/>
    </w:p>
    <w:p w14:paraId="6676B2C8" w14:textId="09748E43" w:rsidR="00A267A0" w:rsidRPr="00A267A0" w:rsidRDefault="00BD71F7" w:rsidP="00A267A0">
      <w:r>
        <w:rPr>
          <w:noProof/>
          <w:lang w:val="en-US" w:eastAsia="en-US"/>
        </w:rPr>
        <w:drawing>
          <wp:inline distT="0" distB="0" distL="0" distR="0" wp14:anchorId="57825025" wp14:editId="0B5D77E7">
            <wp:extent cx="6120130" cy="3275330"/>
            <wp:effectExtent l="0" t="0" r="1270" b="1270"/>
            <wp:docPr id="20327848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84803" name=""/>
                    <pic:cNvPicPr/>
                  </pic:nvPicPr>
                  <pic:blipFill>
                    <a:blip r:embed="rId32">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3"/>
                        </a:ext>
                      </a:extLst>
                    </a:blip>
                    <a:stretch>
                      <a:fillRect/>
                    </a:stretch>
                  </pic:blipFill>
                  <pic:spPr>
                    <a:xfrm>
                      <a:off x="0" y="0"/>
                      <a:ext cx="6120130" cy="3275330"/>
                    </a:xfrm>
                    <a:prstGeom prst="rect">
                      <a:avLst/>
                    </a:prstGeom>
                  </pic:spPr>
                </pic:pic>
              </a:graphicData>
            </a:graphic>
          </wp:inline>
        </w:drawing>
      </w:r>
    </w:p>
    <w:p w14:paraId="39F79908" w14:textId="77777777" w:rsidR="00F32AEB" w:rsidRDefault="00F32AEB" w:rsidP="00F32AEB">
      <w:pPr>
        <w:pStyle w:val="NumberedParagraph"/>
      </w:pPr>
      <w:r>
        <w:t xml:space="preserve">Figure 5 shows “Benue State Other Federation Account Receipts Budget vs Actual: 2019–2025” presenting the revenue inflows from other components of the Federation Account aside from statutory allocation and VAT. In 2019, the State budgeted ₦8.36 billion but received only ₦3.86 billion, showing a performance rate of just 46.2%. However, in 2020, the state budgeted a modest ₦1.0 billion but received ₦4.79 billion, yielding a remarkable 479.5% performance and 24.08% growth from the previous year. This reflects how conservative budgeting combined with higher-than-expected national disbursements can result in significant </w:t>
      </w:r>
      <w:proofErr w:type="spellStart"/>
      <w:r>
        <w:t>overperformance</w:t>
      </w:r>
      <w:proofErr w:type="spellEnd"/>
      <w:r>
        <w:t xml:space="preserve">. The trend, however, reversed in 2021 when the budget rose to ₦5.25 billion, but actual receipts dropped to ₦2.91 billion, leading to a performance rate of 55.4% and negative growth of -39.31%. From 2022 onward, the figures depict both recovery and explosive growth. </w:t>
      </w:r>
    </w:p>
    <w:p w14:paraId="2D3C2C03" w14:textId="6D47CC6B" w:rsidR="005F5C0D" w:rsidRPr="00132CB5" w:rsidRDefault="00F32AEB" w:rsidP="00F32AEB">
      <w:pPr>
        <w:pStyle w:val="NumberedParagraph"/>
      </w:pPr>
      <w:r>
        <w:t xml:space="preserve">In 2022, the budget remained at ₦5.25 billion, while actual receipts rose to ₦7.24 billion, representing 137.8% performance and 148.85% growth compared to the previous year. This positive turnaround continued in 2023, when the budgeted amount increased to ₦8.94 billion and actual collections reached ₦11.49 billion, yielding 128.6% performance and 58.73% growth. However, the most extraordinary year was 2024 when the budgeted figure was ₦10.94 billion, yet actual receipts skyrocketed to an unprecedented ₦167.1 billion. This represents a staggering 1527.3% performance and an astronomical growth rate of 1353.74% compared to the previous year. </w:t>
      </w:r>
      <w:r w:rsidR="00EC0470">
        <w:t xml:space="preserve">The high inflow of other Federation Account receipts was due to </w:t>
      </w:r>
      <w:r w:rsidR="00E720AD">
        <w:t xml:space="preserve">high performance of </w:t>
      </w:r>
      <w:r w:rsidR="00EC0470">
        <w:t xml:space="preserve">exchange gains and </w:t>
      </w:r>
      <w:r w:rsidR="00E720AD">
        <w:t>the electronic money transfer levy</w:t>
      </w:r>
      <w:r w:rsidR="002D40E8">
        <w:t xml:space="preserve"> (EMTL)</w:t>
      </w:r>
      <w:r w:rsidR="00E720AD">
        <w:t xml:space="preserve">. </w:t>
      </w:r>
      <w:r>
        <w:t>Looking ahead to 2025, the State has budgeted a massive ₦154.8 billion in anticipation of continued high inflows</w:t>
      </w:r>
      <w:r w:rsidR="00E720AD">
        <w:t>, which is unlikely</w:t>
      </w:r>
      <w:r>
        <w:t xml:space="preserve">. A striking feature of this graph is the high volatility in actual collections relative to budgets, with performance swinging from significant underperformance in some years to dramatic </w:t>
      </w:r>
      <w:proofErr w:type="spellStart"/>
      <w:r>
        <w:t>overperformance</w:t>
      </w:r>
      <w:proofErr w:type="spellEnd"/>
      <w:r>
        <w:t xml:space="preserve"> in others. This inconsistency shows the unpredictability of this revenue source, which may stem from the irregular nature of inflows such as exchange rate differentials, excess crude proceeds, or intervention funds.</w:t>
      </w:r>
    </w:p>
    <w:p w14:paraId="74040963" w14:textId="4F3DC9DA" w:rsidR="005F5C0D" w:rsidRDefault="005F5C0D" w:rsidP="005F5C0D">
      <w:pPr>
        <w:pStyle w:val="Caption"/>
      </w:pPr>
      <w:bookmarkStart w:id="25" w:name="_Toc208941464"/>
      <w:r>
        <w:lastRenderedPageBreak/>
        <w:t xml:space="preserve">Figure </w:t>
      </w:r>
      <w:fldSimple w:instr=" SEQ Figure \* ARABIC ">
        <w:r w:rsidR="00F60625">
          <w:rPr>
            <w:noProof/>
          </w:rPr>
          <w:t>6</w:t>
        </w:r>
      </w:fldSimple>
      <w:r>
        <w:t>: Grants</w:t>
      </w:r>
      <w:bookmarkEnd w:id="25"/>
    </w:p>
    <w:p w14:paraId="3A6703ED" w14:textId="21016425" w:rsidR="00A267A0" w:rsidRPr="00A267A0" w:rsidRDefault="00BD71F7" w:rsidP="00A267A0">
      <w:r>
        <w:rPr>
          <w:noProof/>
          <w:lang w:val="en-US" w:eastAsia="en-US"/>
        </w:rPr>
        <w:drawing>
          <wp:inline distT="0" distB="0" distL="0" distR="0" wp14:anchorId="4D6BA62C" wp14:editId="4D92F668">
            <wp:extent cx="6120130" cy="3275330"/>
            <wp:effectExtent l="0" t="0" r="1270" b="1270"/>
            <wp:docPr id="15069695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69589" name=""/>
                    <pic:cNvPicPr/>
                  </pic:nvPicPr>
                  <pic:blipFill>
                    <a:blip r:embed="rId34">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5"/>
                        </a:ext>
                      </a:extLst>
                    </a:blip>
                    <a:stretch>
                      <a:fillRect/>
                    </a:stretch>
                  </pic:blipFill>
                  <pic:spPr>
                    <a:xfrm>
                      <a:off x="0" y="0"/>
                      <a:ext cx="6120130" cy="3275330"/>
                    </a:xfrm>
                    <a:prstGeom prst="rect">
                      <a:avLst/>
                    </a:prstGeom>
                  </pic:spPr>
                </pic:pic>
              </a:graphicData>
            </a:graphic>
          </wp:inline>
        </w:drawing>
      </w:r>
    </w:p>
    <w:p w14:paraId="3E6C1DEA" w14:textId="1C024CA5" w:rsidR="00651053" w:rsidRDefault="00651053" w:rsidP="00651053">
      <w:pPr>
        <w:pStyle w:val="NumberedParagraph"/>
      </w:pPr>
      <w:r>
        <w:t xml:space="preserve">Figure 6 shows the Benue State grants budget versus actual receipts from 2019 to 2025. In 2019, the budgeted amount was approximately ₦35.75 billion, yet the State only </w:t>
      </w:r>
      <w:r w:rsidR="00E720AD">
        <w:t>realised</w:t>
      </w:r>
      <w:r>
        <w:t xml:space="preserve"> around ₦557.91 million. This represents a performance of just 1.6%, highlighting a major shortfall in expected grants inflows. However, the picture </w:t>
      </w:r>
      <w:r w:rsidR="00E720AD">
        <w:t>changed</w:t>
      </w:r>
      <w:r>
        <w:t xml:space="preserve"> dramatically in 2020 when the performance surged to 92.7%, with ₦8.8 billion actual receipts against the ₦9.19 billion budget. From 2021 to 2023, actual performance continued to fluctuate, though at higher levels than </w:t>
      </w:r>
      <w:r w:rsidR="00E720AD">
        <w:t xml:space="preserve">in </w:t>
      </w:r>
      <w:r>
        <w:t>2019. In 2021, only ₦3.31 billion was received against ₦21.19 billion budgeted, yielding a performance of 15.6%. However, this was followed by stronger performance in 2022, when ₦9.52 billion was collected against ₦25.72 billion budgeted, reaching 37%. This upward trend carried over into 2023</w:t>
      </w:r>
      <w:r w:rsidR="00E720AD">
        <w:t>,</w:t>
      </w:r>
      <w:r>
        <w:t xml:space="preserve"> with ₦10.61 billion </w:t>
      </w:r>
      <w:r w:rsidR="00E720AD">
        <w:t>realised</w:t>
      </w:r>
      <w:r>
        <w:t xml:space="preserve"> from ₦24.6 billion budgeted, giving a performance rate of 43.1%. While these amounts still fall short of meeting the full budget, they suggest incremental improvements in grant collection capacity, indicating either stronger negotiations with partners or better alignment of budgets with realistic grant expectations.</w:t>
      </w:r>
    </w:p>
    <w:p w14:paraId="7842953C" w14:textId="1F43266B" w:rsidR="005F5C0D" w:rsidRPr="00132CB5" w:rsidRDefault="00651053" w:rsidP="00651053">
      <w:pPr>
        <w:pStyle w:val="NumberedParagraph"/>
      </w:pPr>
      <w:r>
        <w:t>The standout year in the trend is clearly 2024. Benue State budgeted ₦32.32 billion but remarkably achieved ₦49.55 billion in actual grants, overshooting its budget by a wide margin and resulting in a performance level of 153.3%. This sharp turnaround from the preceding years demonstrates extraordinary growth in grant inflows, recorded at 366.86% compared to 2023. Such a performance could be attributed to expanded donor interest, improved project designs that attracted more funding, or stronger institutional capacity to access external resources. In 2025, the budget has been set at ₦26.47 billion. The historical trend suggests that performance can be erratic</w:t>
      </w:r>
      <w:r w:rsidR="00E720AD">
        <w:t>,</w:t>
      </w:r>
      <w:r>
        <w:t xml:space="preserve"> ranging from as low as 1.6% in 2019 to as high as 153.3% in 2024. This unpredictability reflects the challenges of relying heavily on grants as a revenue stream, given their dependence on external funding bodies, </w:t>
      </w:r>
      <w:proofErr w:type="spellStart"/>
      <w:r>
        <w:t>conditionalities</w:t>
      </w:r>
      <w:proofErr w:type="spellEnd"/>
      <w:r>
        <w:t>, and broader economic and political factors.</w:t>
      </w:r>
    </w:p>
    <w:p w14:paraId="710A214F" w14:textId="08A812FA" w:rsidR="005F5C0D" w:rsidRDefault="005F5C0D" w:rsidP="005F5C0D">
      <w:pPr>
        <w:pStyle w:val="Caption"/>
      </w:pPr>
      <w:bookmarkStart w:id="26" w:name="_Toc208941465"/>
      <w:r>
        <w:lastRenderedPageBreak/>
        <w:t xml:space="preserve">Figure </w:t>
      </w:r>
      <w:fldSimple w:instr=" SEQ Figure \* ARABIC ">
        <w:r w:rsidR="00F60625">
          <w:rPr>
            <w:noProof/>
          </w:rPr>
          <w:t>7</w:t>
        </w:r>
      </w:fldSimple>
      <w:r>
        <w:t>: Other Capital Receipts</w:t>
      </w:r>
      <w:bookmarkEnd w:id="26"/>
    </w:p>
    <w:p w14:paraId="4DC2F734" w14:textId="4162FC43" w:rsidR="00A267A0" w:rsidRPr="00A267A0" w:rsidRDefault="002B3621" w:rsidP="00A267A0">
      <w:r>
        <w:rPr>
          <w:noProof/>
          <w:lang w:val="en-US" w:eastAsia="en-US"/>
        </w:rPr>
        <w:drawing>
          <wp:inline distT="0" distB="0" distL="0" distR="0" wp14:anchorId="0D74780D" wp14:editId="64CA945C">
            <wp:extent cx="6120130" cy="3274695"/>
            <wp:effectExtent l="0" t="0" r="1270" b="1905"/>
            <wp:docPr id="730225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22544" name=""/>
                    <pic:cNvPicPr/>
                  </pic:nvPicPr>
                  <pic:blipFill>
                    <a:blip r:embed="rId36">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7"/>
                        </a:ext>
                      </a:extLst>
                    </a:blip>
                    <a:stretch>
                      <a:fillRect/>
                    </a:stretch>
                  </pic:blipFill>
                  <pic:spPr>
                    <a:xfrm>
                      <a:off x="0" y="0"/>
                      <a:ext cx="6120130" cy="3274695"/>
                    </a:xfrm>
                    <a:prstGeom prst="rect">
                      <a:avLst/>
                    </a:prstGeom>
                  </pic:spPr>
                </pic:pic>
              </a:graphicData>
            </a:graphic>
          </wp:inline>
        </w:drawing>
      </w:r>
    </w:p>
    <w:p w14:paraId="3072AF56" w14:textId="02A06112" w:rsidR="00EC5896" w:rsidRDefault="00EC5896" w:rsidP="00EC5896">
      <w:pPr>
        <w:pStyle w:val="NumberedParagraph"/>
      </w:pPr>
      <w:r>
        <w:t>The graph in Figure 7 presents the Other Capital Receipts from Benue State using the budgeted versus actual receipts from 2019 to 2025. In 2019, the State budgeted ₦5.13 billion but actually received ₦6.03 billion, resulting in a performance rate of 117.6%. This is the only year in the series where actual receipts exceeded the budget. In 2020, the situation shifted sharply. The budget increased significantly to ₦8.2 billion, but actual receipts dropped to just ₦1.38 billion, yielding a performance of only 16.8%. This represented a steep 77.2% decline compared to the previous year. The year 2021, however, brought some recovery, with actual receipts of ₦4.99 billion against a budget of ₦9.07 billion. This performance level of 55% was far from perfect but indicated that the State was able to mobili</w:t>
      </w:r>
      <w:r w:rsidR="001C7BED">
        <w:t>s</w:t>
      </w:r>
      <w:r>
        <w:t>e a more meaningful share of its expected receipts compared to 2020. The 262.6% growth compared to the previous year shows this rebound, even though the actual values still lagged significantly behind budgeted targets.</w:t>
      </w:r>
    </w:p>
    <w:p w14:paraId="36201C6D" w14:textId="6B76BE09" w:rsidR="005F5C0D" w:rsidRPr="00132CB5" w:rsidRDefault="00EC5896" w:rsidP="00EC5896">
      <w:pPr>
        <w:pStyle w:val="NumberedParagraph"/>
      </w:pPr>
      <w:r>
        <w:t>The real collapse occurs from 2022 onward. Despite steady or even rising budgets to ₦10.35 billion in 2022 and ₦14.72 billion in 2023, no actual receipts were recorded, bringing performance down to 0% for multiple consecutive years. This trend persisted in 2024, where</w:t>
      </w:r>
      <w:r w:rsidR="001726D1">
        <w:t>,</w:t>
      </w:r>
      <w:r>
        <w:t xml:space="preserve"> despite a symbolic budget entry of just ₦99.5 million, actual receipts remained zero. The same is true for 2025 so far, though the actual data are yet to be collected. This prolonged pattern of non-performance raises important questions about the viability of “Other Capital Receipts” as a dependable revenue line in Benue State’s budgetary framework.</w:t>
      </w:r>
    </w:p>
    <w:p w14:paraId="1DE07331" w14:textId="277E8C13" w:rsidR="005F5C0D" w:rsidRDefault="005F5C0D" w:rsidP="005F5C0D">
      <w:pPr>
        <w:pStyle w:val="Caption"/>
      </w:pPr>
      <w:bookmarkStart w:id="27" w:name="_Toc208941466"/>
      <w:r>
        <w:lastRenderedPageBreak/>
        <w:t xml:space="preserve">Figure </w:t>
      </w:r>
      <w:fldSimple w:instr=" SEQ Figure \* ARABIC ">
        <w:r w:rsidR="00F60625">
          <w:rPr>
            <w:noProof/>
          </w:rPr>
          <w:t>8</w:t>
        </w:r>
      </w:fldSimple>
      <w:r>
        <w:t>: Loans/Financing</w:t>
      </w:r>
      <w:bookmarkEnd w:id="27"/>
    </w:p>
    <w:p w14:paraId="4CC7F411" w14:textId="54C461F7" w:rsidR="00A267A0" w:rsidRPr="00A267A0" w:rsidRDefault="002B3621" w:rsidP="00A267A0">
      <w:r>
        <w:rPr>
          <w:noProof/>
          <w:lang w:val="en-US" w:eastAsia="en-US"/>
        </w:rPr>
        <w:drawing>
          <wp:inline distT="0" distB="0" distL="0" distR="0" wp14:anchorId="0CEF1A93" wp14:editId="21FD7DCB">
            <wp:extent cx="6120130" cy="3282950"/>
            <wp:effectExtent l="0" t="0" r="1270" b="6350"/>
            <wp:docPr id="20850489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48950" name=""/>
                    <pic:cNvPicPr/>
                  </pic:nvPicPr>
                  <pic:blipFill>
                    <a:blip r:embed="rId38">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9"/>
                        </a:ext>
                      </a:extLst>
                    </a:blip>
                    <a:stretch>
                      <a:fillRect/>
                    </a:stretch>
                  </pic:blipFill>
                  <pic:spPr>
                    <a:xfrm>
                      <a:off x="0" y="0"/>
                      <a:ext cx="6120130" cy="3282950"/>
                    </a:xfrm>
                    <a:prstGeom prst="rect">
                      <a:avLst/>
                    </a:prstGeom>
                  </pic:spPr>
                </pic:pic>
              </a:graphicData>
            </a:graphic>
          </wp:inline>
        </w:drawing>
      </w:r>
    </w:p>
    <w:p w14:paraId="5223B61D" w14:textId="2DF2D2F3" w:rsidR="005F5C0D" w:rsidRPr="002D6C9F" w:rsidRDefault="00491461" w:rsidP="005F5C0D">
      <w:pPr>
        <w:pStyle w:val="NumberedParagraph"/>
      </w:pPr>
      <w:r w:rsidRPr="00491461">
        <w:t>Figure 8 shows the Benue State loans budget versus actual financing from 2019 to 2025. In 2019, the State projected to secure loans worth approximately ₦39.99 billion, but only ₦7.99 billion was actually obtained. This translated to a performance rate of just 20.0%. By 2020, however, the situation improved slightly, with ₦12.01 billion received against a ₦40 billion budget, representing a performance of 30.0%. This upward trend suggested an enhanced ability to access loans, even though the actual amounts continued to fall significantly short of budgetary estimates. In 2021, the loan budget was reduced to ₦23.81 billion, but the State only secured ₦8.34 billion, yielding a performance of 35.0%. While the budget cut indicated more conservative planning, actual performance still hovered below 40%, reflecting persistent financing shortfalls. In 2022, against a ₦20 billion budget, the State reali</w:t>
      </w:r>
      <w:r w:rsidR="001C7BED">
        <w:t>s</w:t>
      </w:r>
      <w:r w:rsidRPr="00491461">
        <w:t>ed ₦16.8 billion, giving an impressive performance rate of 84.0%. This surge represented a growth rate of 101.43% from the previous year</w:t>
      </w:r>
      <w:r w:rsidR="001C7BED">
        <w:t>,</w:t>
      </w:r>
      <w:r w:rsidRPr="00491461">
        <w:t xml:space="preserve"> showing a significantly improved loan access, possibly due to </w:t>
      </w:r>
      <w:r w:rsidR="001C7BED" w:rsidRPr="00491461">
        <w:t>favourable</w:t>
      </w:r>
      <w:r w:rsidRPr="00491461">
        <w:t xml:space="preserve"> credit conditions or increased borrowing needs to finance expenditure pressures. The trend reversed in 2023 when, despite budgeting ₦40 billion for loans, the State recorded zero actual receipts. This resulted in a performance of 0.0%, pointing to either a deliberate policy shift away from loans or an inability to secure external financing despite high budgetary projections. </w:t>
      </w:r>
      <w:r w:rsidR="000A0EE1">
        <w:t xml:space="preserve">Although, </w:t>
      </w:r>
      <w:r w:rsidR="000A0EE1" w:rsidRPr="00491461">
        <w:t>₦</w:t>
      </w:r>
      <w:r w:rsidR="000A0EE1">
        <w:t xml:space="preserve">34.69 billion was budgeted in 2024 to address the fiscal gaps, however, nothing was secured in this regard. The reason was to enhance the state’s debt sustainability ratio, as well as observe the extent to which statutory inflows and IGR could be invested into state infrastructure for development. This further provided </w:t>
      </w:r>
      <w:r w:rsidR="00E77376">
        <w:t xml:space="preserve">a clear borrowing path on what is actually needed as borrowed funds for public investment. To this extent, by 2025, the borrowing plan was set at </w:t>
      </w:r>
      <w:r w:rsidR="00E77376" w:rsidRPr="00491461">
        <w:t>₦</w:t>
      </w:r>
      <w:r w:rsidR="00E77376">
        <w:t xml:space="preserve">57.18, but later supplemented at </w:t>
      </w:r>
      <w:r w:rsidR="00E77376" w:rsidRPr="00491461">
        <w:t>₦</w:t>
      </w:r>
      <w:r w:rsidR="00E77376">
        <w:t>107.1 billion given changes in government priorities as well as expanded access to domestic and external lenders.</w:t>
      </w:r>
    </w:p>
    <w:p w14:paraId="03672F4A" w14:textId="2E376380" w:rsidR="005F5C0D" w:rsidRDefault="005F5C0D" w:rsidP="0078664B">
      <w:pPr>
        <w:pStyle w:val="Heading4"/>
      </w:pPr>
      <w:r w:rsidRPr="005F5C0D">
        <w:t>Expenditure Side</w:t>
      </w:r>
    </w:p>
    <w:p w14:paraId="1DF0E2A5" w14:textId="42032E84" w:rsidR="005F5C0D" w:rsidRPr="005F5C0D" w:rsidRDefault="005F5C0D" w:rsidP="00C61F6D">
      <w:pPr>
        <w:pStyle w:val="NumberedParagraph"/>
      </w:pPr>
      <w:r w:rsidRPr="005F5C0D">
        <w:t>On the expenditure side, the document looks at Consolidated Revenue Fund (CRF) charges, Personnel, Overheads and Capital Expenditure – budget versus actual for the period 20</w:t>
      </w:r>
      <w:r w:rsidR="002D6C9F">
        <w:t>19</w:t>
      </w:r>
      <w:r w:rsidRPr="005F5C0D">
        <w:t>-20</w:t>
      </w:r>
      <w:r w:rsidR="002D6C9F">
        <w:t>2</w:t>
      </w:r>
      <w:r w:rsidR="00B24FFE">
        <w:t>4</w:t>
      </w:r>
      <w:r w:rsidRPr="005F5C0D">
        <w:t xml:space="preserve"> (six years) and 20</w:t>
      </w:r>
      <w:r w:rsidR="00B24FFE">
        <w:t xml:space="preserve">25 </w:t>
      </w:r>
      <w:r w:rsidRPr="005F5C0D">
        <w:t>budget.</w:t>
      </w:r>
    </w:p>
    <w:p w14:paraId="2E8AABF6" w14:textId="0DF99F57" w:rsidR="00C61F6D" w:rsidRDefault="00C61F6D" w:rsidP="00C61F6D">
      <w:pPr>
        <w:pStyle w:val="Caption"/>
      </w:pPr>
      <w:bookmarkStart w:id="28" w:name="_Toc208941467"/>
      <w:r>
        <w:lastRenderedPageBreak/>
        <w:t xml:space="preserve">Figure </w:t>
      </w:r>
      <w:fldSimple w:instr=" SEQ Figure \* ARABIC ">
        <w:r w:rsidR="00F60625">
          <w:rPr>
            <w:noProof/>
          </w:rPr>
          <w:t>9</w:t>
        </w:r>
      </w:fldSimple>
      <w:r>
        <w:t>: Personnel</w:t>
      </w:r>
      <w:bookmarkEnd w:id="28"/>
    </w:p>
    <w:p w14:paraId="254FCB3F" w14:textId="4602FCA5" w:rsidR="00A267A0" w:rsidRPr="00A267A0" w:rsidRDefault="00365BBE" w:rsidP="00A267A0">
      <w:r>
        <w:rPr>
          <w:noProof/>
          <w:lang w:val="en-US" w:eastAsia="en-US"/>
        </w:rPr>
        <w:drawing>
          <wp:inline distT="0" distB="0" distL="0" distR="0" wp14:anchorId="7BA3155D" wp14:editId="033A7AAF">
            <wp:extent cx="6120130" cy="3279140"/>
            <wp:effectExtent l="0" t="0" r="1270" b="0"/>
            <wp:docPr id="7652697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9711" name=""/>
                    <pic:cNvPicPr/>
                  </pic:nvPicPr>
                  <pic:blipFill>
                    <a:blip r:embed="rId40">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1"/>
                        </a:ext>
                      </a:extLst>
                    </a:blip>
                    <a:stretch>
                      <a:fillRect/>
                    </a:stretch>
                  </pic:blipFill>
                  <pic:spPr>
                    <a:xfrm>
                      <a:off x="0" y="0"/>
                      <a:ext cx="6120130" cy="3279140"/>
                    </a:xfrm>
                    <a:prstGeom prst="rect">
                      <a:avLst/>
                    </a:prstGeom>
                  </pic:spPr>
                </pic:pic>
              </a:graphicData>
            </a:graphic>
          </wp:inline>
        </w:drawing>
      </w:r>
    </w:p>
    <w:p w14:paraId="2BEB89A9" w14:textId="5037E516" w:rsidR="00C61F6D" w:rsidRPr="00491461" w:rsidRDefault="00005D64" w:rsidP="00C61F6D">
      <w:pPr>
        <w:pStyle w:val="NumberedParagraph"/>
      </w:pPr>
      <w:r w:rsidRPr="00005D64">
        <w:t xml:space="preserve">Figure 9 shows the Benue State personnel (salaries, allowances, and contributions) budget versus actual expenditures from 2019 to 2025. In 2019, the budgeted amount was approximately ₦39.76 billion, while actual personnel costs stood at ₦31.06 billion. This translated to a performance of 78.1%, indicating that while most of the budgeted amount was </w:t>
      </w:r>
      <w:r w:rsidR="00E720AD">
        <w:t>utilised</w:t>
      </w:r>
      <w:r w:rsidRPr="00005D64">
        <w:t xml:space="preserve">, there was still a shortfall in spending relative to projections. By 2020, although the personnel budget was reduced to ₦31.89 billion, actual expenditure surged to ₦35.09 billion, giving a performance rate of 110.02%. This overshoot of the budget suggests higher-than-expected personnel-related obligations that pushed spending beyond planned levels. In 2021, the personnel budget was slightly raised to ₦37.76 billion, but actual spending declined to ₦31.63 billion, representing a performance of 83.75%. This reversal indicates tighter control over personnel costs or possible delays in </w:t>
      </w:r>
      <w:r w:rsidR="00091C66">
        <w:t xml:space="preserve">the </w:t>
      </w:r>
      <w:r w:rsidRPr="00005D64">
        <w:t xml:space="preserve">disbursement of salaries and allowances. By 2022, the personnel budget rose further to ₦42.78 billion, yet actual expenditure amounted to ₦32.48 billion, producing a performance rate of 75.92%. The relatively low execution rate in this year suggests persistent expenditure constraints, perhaps linked to revenue shortfalls or deliberate efforts to manage the wage bill.  The year 2023 showed a similar pattern of underperformance. Against a budget of ₦43.68 billion, the State spent ₦32.24 billion, yielding a performance of 73.82%. However, in 2024, the budget was set at ₦40.84 billion, but the actual personnel spending increased to ₦49.43 billion. This resulted in a performance rate of 121.03%, marking the highest overshoot in the period under review. </w:t>
      </w:r>
      <w:r w:rsidR="00091C66">
        <w:t>The</w:t>
      </w:r>
      <w:r w:rsidRPr="00005D64">
        <w:t xml:space="preserve"> sharp increase likely stemmed from </w:t>
      </w:r>
      <w:r w:rsidR="00091C66">
        <w:t>the increase in the minimum wage that was implemented in 2024</w:t>
      </w:r>
      <w:r w:rsidRPr="00005D64">
        <w:t>. For 2025, the personnel budget is projected at a record ₦67.84 billion. From above, personnel spending overshooting i</w:t>
      </w:r>
      <w:r w:rsidR="00091C66">
        <w:t xml:space="preserve">n </w:t>
      </w:r>
      <w:r w:rsidRPr="00005D64">
        <w:t>2020 and 2024</w:t>
      </w:r>
      <w:r w:rsidR="00091C66">
        <w:t xml:space="preserve"> is an indication of the </w:t>
      </w:r>
      <w:r w:rsidRPr="00005D64">
        <w:t xml:space="preserve">challenges of managing personnel costs, which often fluctuate in response to policy changes, </w:t>
      </w:r>
      <w:r w:rsidR="00091C66">
        <w:t>labour</w:t>
      </w:r>
      <w:r w:rsidRPr="00005D64">
        <w:t xml:space="preserve"> negotiations, and arrears payments.</w:t>
      </w:r>
    </w:p>
    <w:p w14:paraId="6CDBD52A" w14:textId="2E221D99" w:rsidR="00C61F6D" w:rsidRDefault="00C61F6D" w:rsidP="00C61F6D">
      <w:pPr>
        <w:pStyle w:val="Caption"/>
      </w:pPr>
      <w:bookmarkStart w:id="29" w:name="_Toc208941468"/>
      <w:r>
        <w:lastRenderedPageBreak/>
        <w:t xml:space="preserve">Figure </w:t>
      </w:r>
      <w:fldSimple w:instr=" SEQ Figure \* ARABIC ">
        <w:r w:rsidR="00F60625">
          <w:rPr>
            <w:noProof/>
          </w:rPr>
          <w:t>10</w:t>
        </w:r>
      </w:fldSimple>
      <w:r>
        <w:t xml:space="preserve">: </w:t>
      </w:r>
      <w:r w:rsidR="00602AAC">
        <w:t>Social Benefits</w:t>
      </w:r>
      <w:bookmarkEnd w:id="29"/>
    </w:p>
    <w:p w14:paraId="693C07D4" w14:textId="0A4318E3" w:rsidR="00A267A0" w:rsidRPr="00A267A0" w:rsidRDefault="00AE5D17" w:rsidP="00A267A0">
      <w:r>
        <w:rPr>
          <w:noProof/>
          <w:lang w:val="en-US" w:eastAsia="en-US"/>
        </w:rPr>
        <w:drawing>
          <wp:inline distT="0" distB="0" distL="0" distR="0" wp14:anchorId="4B1E7B7B" wp14:editId="644FCE66">
            <wp:extent cx="6120130" cy="3286760"/>
            <wp:effectExtent l="0" t="0" r="1270" b="2540"/>
            <wp:docPr id="11352242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24201" name=""/>
                    <pic:cNvPicPr/>
                  </pic:nvPicPr>
                  <pic:blipFill>
                    <a:blip r:embed="rId42">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3"/>
                        </a:ext>
                      </a:extLst>
                    </a:blip>
                    <a:stretch>
                      <a:fillRect/>
                    </a:stretch>
                  </pic:blipFill>
                  <pic:spPr>
                    <a:xfrm>
                      <a:off x="0" y="0"/>
                      <a:ext cx="6120130" cy="3286760"/>
                    </a:xfrm>
                    <a:prstGeom prst="rect">
                      <a:avLst/>
                    </a:prstGeom>
                  </pic:spPr>
                </pic:pic>
              </a:graphicData>
            </a:graphic>
          </wp:inline>
        </w:drawing>
      </w:r>
    </w:p>
    <w:p w14:paraId="22CCE314" w14:textId="456AE94A" w:rsidR="00EF5801" w:rsidRDefault="00EF5801" w:rsidP="00EF5801">
      <w:pPr>
        <w:pStyle w:val="NumberedParagraph"/>
      </w:pPr>
      <w:r>
        <w:t xml:space="preserve">Figure 10 shows the Benue State social benefits budget versus actual expenditures from 2019 to 2025. In 2019, the State budgeted approximately ₦16.42 billion for social benefits, but actual spending reached only ₦5.97 billion. This resulted in a performance rate of 36.36%. In 2020, the budget was cut drastically to ₦4.99 billion, yet actual spending stood at only ₦1.76 billion, producing a performance rate of 35.25%. This contraction in both budget and actual spending </w:t>
      </w:r>
      <w:r w:rsidR="001C7BED">
        <w:t>signalled</w:t>
      </w:r>
      <w:r>
        <w:t xml:space="preserve"> fiscal tightening and a steep 70.5% decline in growth, pointing to difficult economic circumstances and possible reprioriti</w:t>
      </w:r>
      <w:r w:rsidR="001C7BED">
        <w:t>s</w:t>
      </w:r>
      <w:r>
        <w:t xml:space="preserve">ation away from social benefit allocations. The situation began to improve in 2021, when the budget was raised to ₦11.62 billion, though actual spending amounted to just ₦3.94 billion. This represented a modest performance of 33.94%, yet growth surged by 123.97% compared to the previous year. In 2022, the budget fell sharply again to ₦4.79 billion, but this time, actual expenditure of ₦4.94 billion slightly exceeded the budget. This yielded a performance rate of 103.1%, marking the first time within the period under review that actual spending surpassed planned allocations. The overshoot suggested </w:t>
      </w:r>
      <w:r w:rsidR="00234C36">
        <w:t xml:space="preserve">a </w:t>
      </w:r>
      <w:r>
        <w:t xml:space="preserve">strong policy emphasis </w:t>
      </w:r>
      <w:r w:rsidR="00234C36">
        <w:t xml:space="preserve">by the State to pay pensions and gratuity of retired civil servants and other public servants. </w:t>
      </w:r>
    </w:p>
    <w:p w14:paraId="38F1AF67" w14:textId="5E9B6702" w:rsidR="00602AAC" w:rsidRPr="00491461" w:rsidRDefault="00EF5801" w:rsidP="00EF5801">
      <w:pPr>
        <w:pStyle w:val="NumberedParagraph"/>
      </w:pPr>
      <w:r>
        <w:t>By 2023, the upward trend continued as the State budgeted ₦4.84 billion for social benefits but ended up spending ₦8.02 billion. This translated into a performance rate of 165.77% and a growth rate of 62.37%, indicating significant scaling up of spending</w:t>
      </w:r>
      <w:r w:rsidR="00234C36">
        <w:t xml:space="preserve"> on pensions and gratuity</w:t>
      </w:r>
      <w:r>
        <w:t xml:space="preserve"> well beyond initial projections. The momentum carried into 2024, when ₦15.74 billion was budgeted and actual expenditure rose further to ₦17.01 billion, resulting in a performance rate of 108.06%. For 2025, the budget has been set at ₦15.82 billion. However, as of reporting, no actual expenditures have been recorded.</w:t>
      </w:r>
    </w:p>
    <w:p w14:paraId="2AE2E51A" w14:textId="6074C008" w:rsidR="00602AAC" w:rsidRDefault="00602AAC" w:rsidP="00602AAC">
      <w:pPr>
        <w:pStyle w:val="Caption"/>
      </w:pPr>
      <w:bookmarkStart w:id="30" w:name="_Toc208941469"/>
      <w:r>
        <w:lastRenderedPageBreak/>
        <w:t xml:space="preserve">Figure </w:t>
      </w:r>
      <w:fldSimple w:instr=" SEQ Figure \* ARABIC ">
        <w:r w:rsidR="00F60625">
          <w:rPr>
            <w:noProof/>
          </w:rPr>
          <w:t>11</w:t>
        </w:r>
      </w:fldSimple>
      <w:r>
        <w:t>: Overheads</w:t>
      </w:r>
      <w:bookmarkEnd w:id="30"/>
    </w:p>
    <w:p w14:paraId="5D7BD263" w14:textId="3A484B6C" w:rsidR="00602AAC" w:rsidRPr="00A267A0" w:rsidRDefault="007613CA" w:rsidP="00602AAC">
      <w:r>
        <w:rPr>
          <w:noProof/>
          <w:lang w:val="en-US" w:eastAsia="en-US"/>
        </w:rPr>
        <w:drawing>
          <wp:inline distT="0" distB="0" distL="0" distR="0" wp14:anchorId="02824F7F" wp14:editId="03892895">
            <wp:extent cx="6120130" cy="3286760"/>
            <wp:effectExtent l="0" t="0" r="1270" b="2540"/>
            <wp:docPr id="11806300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30015" name=""/>
                    <pic:cNvPicPr/>
                  </pic:nvPicPr>
                  <pic:blipFill>
                    <a:blip r:embed="rId44">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5"/>
                        </a:ext>
                      </a:extLst>
                    </a:blip>
                    <a:stretch>
                      <a:fillRect/>
                    </a:stretch>
                  </pic:blipFill>
                  <pic:spPr>
                    <a:xfrm>
                      <a:off x="0" y="0"/>
                      <a:ext cx="6120130" cy="3286760"/>
                    </a:xfrm>
                    <a:prstGeom prst="rect">
                      <a:avLst/>
                    </a:prstGeom>
                  </pic:spPr>
                </pic:pic>
              </a:graphicData>
            </a:graphic>
          </wp:inline>
        </w:drawing>
      </w:r>
    </w:p>
    <w:p w14:paraId="0BFC8C0E" w14:textId="4BF07CD1" w:rsidR="00C61F6D" w:rsidRPr="00491461" w:rsidRDefault="006B68BD" w:rsidP="00C61F6D">
      <w:pPr>
        <w:pStyle w:val="NumberedParagraph"/>
      </w:pPr>
      <w:r w:rsidRPr="006B68BD">
        <w:t>Figure 11 shows the Benue State overheads budget versus actual expenditures from 2019 to 2025. In 2019, the State budgeted approximately ₦43.44 billion for overheads, but actual expenditure reached only ₦21.88 billion. This translated into a performance rate of 50.36%, showing that less than half of the projected overhead spending was actualised. In 2020, however, the budget was cut back to ₦28.63 billion, while actual spending stood at ₦25.18 billion. This produced a stronger performance rate of 87.97% and reflected a 15.11% growth, suggesting better budget alignment with actual disbursements. By 2021, the overhead budget was raised to ₦30.32 billion, yet actual expenditure declined slightly to ₦21.49 billion, resulting in a performance rate of 70.88% and a contraction of 14.67% in growth. This indicates the continued challenges in fully implementing overhead allocations despite higher budgetary provisions. The situation improved in 2022, when the overhead budget was ₦32.68 billion and actual expenditure rose sharply to ₦32.01 billion</w:t>
      </w:r>
      <w:r w:rsidR="001C7BED">
        <w:t>,</w:t>
      </w:r>
      <w:r w:rsidRPr="006B68BD">
        <w:t xml:space="preserve"> leading to a performance rate of 97.95% and an impressive 48.96% growth. By 2023, however, the budget was reduced to ₦25.38 billion while actual overheads remained high at ₦32.02 billion. This overshoot pushed performance to 126.17%, signal</w:t>
      </w:r>
      <w:r w:rsidR="001C7BED">
        <w:t>l</w:t>
      </w:r>
      <w:r w:rsidRPr="006B68BD">
        <w:t>ing that overhead spending outpaced planned allocations, perhaps due to rising administrative and operational costs. The upward trend persisted in 2024, when ₦43.09 billion was budgeted</w:t>
      </w:r>
      <w:r w:rsidR="001C7BED">
        <w:t>,</w:t>
      </w:r>
      <w:r w:rsidRPr="006B68BD">
        <w:t xml:space="preserve"> but actual spending rose further to ₦45.22 billion. This gave a performance rate of 104.95% and 41.23% growth, showing that overhead costs continued to increase. For 2025, the budget has been set at ₦93.13 billion.</w:t>
      </w:r>
    </w:p>
    <w:p w14:paraId="1334FFFA" w14:textId="6B09B173" w:rsidR="00C61F6D" w:rsidRDefault="00C61F6D" w:rsidP="00C61F6D">
      <w:pPr>
        <w:pStyle w:val="Caption"/>
      </w:pPr>
      <w:bookmarkStart w:id="31" w:name="_Toc208941470"/>
      <w:r>
        <w:lastRenderedPageBreak/>
        <w:t xml:space="preserve">Figure </w:t>
      </w:r>
      <w:fldSimple w:instr=" SEQ Figure \* ARABIC ">
        <w:r w:rsidR="00F60625">
          <w:rPr>
            <w:noProof/>
          </w:rPr>
          <w:t>12</w:t>
        </w:r>
      </w:fldSimple>
      <w:r>
        <w:t xml:space="preserve">: </w:t>
      </w:r>
      <w:r w:rsidR="00602AAC">
        <w:t>Grants, Contributions, Subsidies, Transfers</w:t>
      </w:r>
      <w:bookmarkEnd w:id="31"/>
    </w:p>
    <w:p w14:paraId="15DD842A" w14:textId="161D3DA0" w:rsidR="00602AAC" w:rsidRPr="00602AAC" w:rsidRDefault="00D65791" w:rsidP="00602AAC">
      <w:r>
        <w:rPr>
          <w:noProof/>
          <w:lang w:val="en-US" w:eastAsia="en-US"/>
        </w:rPr>
        <w:drawing>
          <wp:inline distT="0" distB="0" distL="0" distR="0" wp14:anchorId="7AD1EECD" wp14:editId="38AB948D">
            <wp:extent cx="6120130" cy="3286760"/>
            <wp:effectExtent l="0" t="0" r="1270" b="2540"/>
            <wp:docPr id="7224199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19994" name=""/>
                    <pic:cNvPicPr/>
                  </pic:nvPicPr>
                  <pic:blipFill>
                    <a:blip r:embed="rId46">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7"/>
                        </a:ext>
                      </a:extLst>
                    </a:blip>
                    <a:stretch>
                      <a:fillRect/>
                    </a:stretch>
                  </pic:blipFill>
                  <pic:spPr>
                    <a:xfrm>
                      <a:off x="0" y="0"/>
                      <a:ext cx="6120130" cy="3286760"/>
                    </a:xfrm>
                    <a:prstGeom prst="rect">
                      <a:avLst/>
                    </a:prstGeom>
                  </pic:spPr>
                </pic:pic>
              </a:graphicData>
            </a:graphic>
          </wp:inline>
        </w:drawing>
      </w:r>
    </w:p>
    <w:p w14:paraId="7BD90589" w14:textId="77777777" w:rsidR="00FB14A5" w:rsidRPr="00FB14A5" w:rsidRDefault="00437627" w:rsidP="00FB14A5">
      <w:pPr>
        <w:pStyle w:val="NumberedParagraph"/>
        <w:rPr>
          <w:rFonts w:ascii="Arial Narrow" w:hAnsi="Arial Narrow"/>
          <w:sz w:val="28"/>
          <w:szCs w:val="28"/>
        </w:rPr>
      </w:pPr>
      <w:r w:rsidRPr="006B68BD">
        <w:t>Figure 1</w:t>
      </w:r>
      <w:r w:rsidR="00FB14A5">
        <w:t>2</w:t>
      </w:r>
      <w:r w:rsidRPr="006B68BD">
        <w:t xml:space="preserve"> shows the Benue State </w:t>
      </w:r>
      <w:r>
        <w:t xml:space="preserve">grants, contributions and subsidies </w:t>
      </w:r>
      <w:r w:rsidRPr="006B68BD">
        <w:t xml:space="preserve">budget versus actual expenditures from 2019 to 2025. </w:t>
      </w:r>
      <w:r w:rsidRPr="00437627">
        <w:t>As depicted in Figure 1</w:t>
      </w:r>
      <w:r w:rsidR="00FB14A5">
        <w:t>2</w:t>
      </w:r>
      <w:r w:rsidRPr="00437627">
        <w:t xml:space="preserve">, Actual performance over budget was </w:t>
      </w:r>
      <w:r w:rsidR="00FB14A5">
        <w:t>24.46</w:t>
      </w:r>
      <w:r w:rsidRPr="00437627">
        <w:t xml:space="preserve">% in 2019, rose to </w:t>
      </w:r>
      <w:r w:rsidR="00FB14A5">
        <w:t>74.35</w:t>
      </w:r>
      <w:r w:rsidRPr="00437627">
        <w:t xml:space="preserve">% in 2020, rose significantly to </w:t>
      </w:r>
      <w:r w:rsidR="00FB14A5">
        <w:t>159.53</w:t>
      </w:r>
      <w:r w:rsidRPr="00437627">
        <w:t>% in 2021 and 1</w:t>
      </w:r>
      <w:r w:rsidR="00FB14A5">
        <w:t>00</w:t>
      </w:r>
      <w:r w:rsidRPr="00437627">
        <w:t xml:space="preserve">% in 2022, </w:t>
      </w:r>
      <w:r w:rsidR="00FB14A5">
        <w:t xml:space="preserve">and dropped significantly </w:t>
      </w:r>
      <w:r w:rsidRPr="00437627">
        <w:t xml:space="preserve">to </w:t>
      </w:r>
      <w:r w:rsidR="00FB14A5">
        <w:t>22.73</w:t>
      </w:r>
      <w:r w:rsidRPr="00437627">
        <w:t xml:space="preserve">% in 2023 and </w:t>
      </w:r>
      <w:r w:rsidR="00FB14A5">
        <w:t>53.57</w:t>
      </w:r>
      <w:r w:rsidRPr="00437627">
        <w:t>% in 2024. Th</w:t>
      </w:r>
      <w:r w:rsidR="00FB14A5">
        <w:t xml:space="preserve">e spike in the amount budgeted and spent by the State in 2022 was due to the State's special poverty alleviation programme. The programme did not continue in 2023, hence the drop in actual performance. </w:t>
      </w:r>
    </w:p>
    <w:p w14:paraId="17D39867" w14:textId="708B5243" w:rsidR="00602AAC" w:rsidRPr="00FB14A5" w:rsidRDefault="00602AAC" w:rsidP="00FB14A5">
      <w:pPr>
        <w:pStyle w:val="NumberedParagraph"/>
        <w:numPr>
          <w:ilvl w:val="0"/>
          <w:numId w:val="0"/>
        </w:numPr>
        <w:ind w:left="567"/>
        <w:jc w:val="center"/>
        <w:rPr>
          <w:rFonts w:ascii="Arial Narrow" w:hAnsi="Arial Narrow"/>
          <w:sz w:val="28"/>
          <w:szCs w:val="28"/>
        </w:rPr>
      </w:pPr>
      <w:bookmarkStart w:id="32" w:name="_Toc208941471"/>
      <w:r>
        <w:t xml:space="preserve">Figure </w:t>
      </w:r>
      <w:fldSimple w:instr=" SEQ Figure \* ARABIC ">
        <w:r w:rsidR="00F60625">
          <w:rPr>
            <w:noProof/>
          </w:rPr>
          <w:t>13</w:t>
        </w:r>
      </w:fldSimple>
      <w:r>
        <w:t>: Public Debt Service</w:t>
      </w:r>
      <w:bookmarkEnd w:id="32"/>
    </w:p>
    <w:p w14:paraId="2B8A5F8A" w14:textId="644C3A0F" w:rsidR="00602AAC" w:rsidRPr="00A267A0" w:rsidRDefault="00993184" w:rsidP="00602AAC">
      <w:r>
        <w:rPr>
          <w:noProof/>
          <w:lang w:val="en-US" w:eastAsia="en-US"/>
        </w:rPr>
        <w:drawing>
          <wp:inline distT="0" distB="0" distL="0" distR="0" wp14:anchorId="5B5C327B" wp14:editId="04AEC625">
            <wp:extent cx="6120130" cy="3286760"/>
            <wp:effectExtent l="0" t="0" r="1270" b="2540"/>
            <wp:docPr id="16844951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95113" name=""/>
                    <pic:cNvPicPr/>
                  </pic:nvPicPr>
                  <pic:blipFill>
                    <a:blip r:embed="rId48">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9"/>
                        </a:ext>
                      </a:extLst>
                    </a:blip>
                    <a:stretch>
                      <a:fillRect/>
                    </a:stretch>
                  </pic:blipFill>
                  <pic:spPr>
                    <a:xfrm>
                      <a:off x="0" y="0"/>
                      <a:ext cx="6120130" cy="3286760"/>
                    </a:xfrm>
                    <a:prstGeom prst="rect">
                      <a:avLst/>
                    </a:prstGeom>
                  </pic:spPr>
                </pic:pic>
              </a:graphicData>
            </a:graphic>
          </wp:inline>
        </w:drawing>
      </w:r>
    </w:p>
    <w:p w14:paraId="340608E6" w14:textId="51825D69" w:rsidR="001F6911" w:rsidRPr="001F6911" w:rsidRDefault="001F6911" w:rsidP="001F6911">
      <w:pPr>
        <w:pStyle w:val="NumberedParagraph"/>
      </w:pPr>
      <w:r w:rsidRPr="001F6911">
        <w:t>Public Debt Charge includes payment for internal and external debts (principal and interest). As shown in Figure 1</w:t>
      </w:r>
      <w:r>
        <w:t>3</w:t>
      </w:r>
      <w:r w:rsidRPr="001F6911">
        <w:t xml:space="preserve">, performance </w:t>
      </w:r>
      <w:r>
        <w:t xml:space="preserve">exceeded the target </w:t>
      </w:r>
      <w:r w:rsidRPr="001F6911">
        <w:t>in 2019</w:t>
      </w:r>
      <w:r>
        <w:t xml:space="preserve">, 2020, 2021, </w:t>
      </w:r>
      <w:r w:rsidRPr="001F6911">
        <w:t>202</w:t>
      </w:r>
      <w:r>
        <w:t xml:space="preserve">2, and 2024 (i.e., 165.61%, 1,054.88%, 207.74, 229.28% and 867.61%respectively). However, performance was less than </w:t>
      </w:r>
      <w:r w:rsidR="00531EFD">
        <w:t>tarry</w:t>
      </w:r>
      <w:r>
        <w:t xml:space="preserve"> in </w:t>
      </w:r>
      <w:r>
        <w:lastRenderedPageBreak/>
        <w:t>2023 (i.e., 67.64%). The State recorded a spike in debt servicing costs in 2024 with the payment of N58.05 billion.</w:t>
      </w:r>
    </w:p>
    <w:p w14:paraId="2979A0E6" w14:textId="110C2353" w:rsidR="00602AAC" w:rsidRDefault="00602AAC" w:rsidP="00602AAC">
      <w:pPr>
        <w:pStyle w:val="Caption"/>
      </w:pPr>
      <w:bookmarkStart w:id="33" w:name="_Toc208941472"/>
      <w:r>
        <w:t xml:space="preserve">Figure </w:t>
      </w:r>
      <w:fldSimple w:instr=" SEQ Figure \* ARABIC ">
        <w:r w:rsidR="00F60625">
          <w:rPr>
            <w:noProof/>
          </w:rPr>
          <w:t>14</w:t>
        </w:r>
      </w:fldSimple>
      <w:r>
        <w:t>: Capital Expenditure</w:t>
      </w:r>
      <w:bookmarkEnd w:id="33"/>
    </w:p>
    <w:p w14:paraId="47932C1F" w14:textId="65476181" w:rsidR="00A267A0" w:rsidRPr="00A267A0" w:rsidRDefault="004E5635" w:rsidP="00A267A0">
      <w:r>
        <w:rPr>
          <w:noProof/>
          <w:lang w:val="en-US" w:eastAsia="en-US"/>
        </w:rPr>
        <w:drawing>
          <wp:inline distT="0" distB="0" distL="0" distR="0" wp14:anchorId="7E747537" wp14:editId="48805D7E">
            <wp:extent cx="6120130" cy="3286760"/>
            <wp:effectExtent l="0" t="0" r="1270" b="2540"/>
            <wp:docPr id="5442472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47200" name=""/>
                    <pic:cNvPicPr/>
                  </pic:nvPicPr>
                  <pic:blipFill>
                    <a:blip r:embed="rId50">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1"/>
                        </a:ext>
                      </a:extLst>
                    </a:blip>
                    <a:stretch>
                      <a:fillRect/>
                    </a:stretch>
                  </pic:blipFill>
                  <pic:spPr>
                    <a:xfrm>
                      <a:off x="0" y="0"/>
                      <a:ext cx="6120130" cy="3286760"/>
                    </a:xfrm>
                    <a:prstGeom prst="rect">
                      <a:avLst/>
                    </a:prstGeom>
                  </pic:spPr>
                </pic:pic>
              </a:graphicData>
            </a:graphic>
          </wp:inline>
        </w:drawing>
      </w:r>
    </w:p>
    <w:p w14:paraId="34281500" w14:textId="44019D9F" w:rsidR="00734DBF" w:rsidRDefault="00734DBF" w:rsidP="00734DBF">
      <w:pPr>
        <w:pStyle w:val="NumberedParagraph"/>
      </w:pPr>
      <w:r>
        <w:t>Figure 1</w:t>
      </w:r>
      <w:r w:rsidR="00C76658">
        <w:t>4</w:t>
      </w:r>
      <w:r>
        <w:t xml:space="preserve"> shows the Benue State capital expenditure budget versus actual performance from 2019 to 2025. In 2019, the State budgeted approximately ₦90.41 billion for capital projects, but only ₦8.24 billion was actually spent. This translated into a performance rate of just 9.12%, reflecting a very wide gap between plans and implementation. In 2020, the capital expenditure budget was reduced sharply to ₦40.48 billion, while actual spending increased slightly to ₦8.40 billion. This gave a performance rate of 20.75% and a modest growth of 1.9% compared to the previous year. Despite the adjustment in budget size, the State continued to struggle with underperformance in capital project execution. In 2021, the capital budget rose slightly to ₦43.53 billion, but actual spending stood at ₦8.77 billion, yielding a performance rate of 20.15%. This represented only 4.4% growth</w:t>
      </w:r>
      <w:r w:rsidR="00C76658">
        <w:t>,</w:t>
      </w:r>
      <w:r>
        <w:t xml:space="preserve"> showing limited improvements in capital expenditure delivery. The trend improved significantly in 2022, when ₦56.82 billion was budgeted, and ₦13.53 billion was actually spent, leading to a performance rate of 23.81%. This represented a 54.24% growth in actual spending, </w:t>
      </w:r>
      <w:r w:rsidR="00C76658">
        <w:t>signalling</w:t>
      </w:r>
      <w:r>
        <w:t xml:space="preserve"> a stronger push toward capital investment, though the execution rate remained far below budgeted levels.</w:t>
      </w:r>
    </w:p>
    <w:p w14:paraId="00BA7E24" w14:textId="77777777" w:rsidR="00734DBF" w:rsidRDefault="00734DBF" w:rsidP="00734DBF">
      <w:pPr>
        <w:pStyle w:val="NumberedParagraph"/>
      </w:pPr>
      <w:r>
        <w:t>By 2023, capital expenditure rose to ₦73.56 billion, and actual spending more than doubled to ₦27.68 billion. This marked a performance rate of 37.63% and a growth rate of 104.62%, showing the most significant expansion in capital spending up to that point. The trend peaked in 2024, when the budget allocation surged to ₦115.24 billion, and actual spending climbed to ₦98.02 billion. This translated into a performance rate of 85.06% and a growth rate of 254.14%, indicating a remarkable turnaround in capital project delivery and suggesting stronger fiscal commitment or improved financing capacity for infrastructure and development projects. For 2025, the capital budget is projected at an unprecedented ₦357.61 billion, the highest within the review period. From above, the trend in capital expenditure between 2019 and 2025 reveals persistent underperformance in the early years, followed by a dramatic surge in 2023 and 2024. This shift highlights the increasing priority given to capital investment in recent years.</w:t>
      </w:r>
    </w:p>
    <w:p w14:paraId="19226044" w14:textId="392C6AC6" w:rsidR="00C61F6D" w:rsidRDefault="00C61F6D" w:rsidP="00C61F6D">
      <w:pPr>
        <w:pStyle w:val="Caption"/>
      </w:pPr>
      <w:bookmarkStart w:id="34" w:name="_Toc208941473"/>
      <w:r>
        <w:lastRenderedPageBreak/>
        <w:t xml:space="preserve">Figure </w:t>
      </w:r>
      <w:fldSimple w:instr=" SEQ Figure \* ARABIC ">
        <w:r w:rsidR="00F60625">
          <w:rPr>
            <w:noProof/>
          </w:rPr>
          <w:t>15</w:t>
        </w:r>
      </w:fldSimple>
      <w:r>
        <w:t>: Recurrent: Capital Expenditure Ratio</w:t>
      </w:r>
      <w:bookmarkEnd w:id="34"/>
    </w:p>
    <w:p w14:paraId="36C84C32" w14:textId="5F55A164" w:rsidR="00A267A0" w:rsidRPr="00A267A0" w:rsidRDefault="004E5635" w:rsidP="00A267A0">
      <w:r>
        <w:rPr>
          <w:noProof/>
          <w:lang w:val="en-US" w:eastAsia="en-US"/>
        </w:rPr>
        <w:drawing>
          <wp:inline distT="0" distB="0" distL="0" distR="0" wp14:anchorId="731D679F" wp14:editId="39E4A03E">
            <wp:extent cx="6120130" cy="3286760"/>
            <wp:effectExtent l="0" t="0" r="1270" b="2540"/>
            <wp:docPr id="489695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9575" name=""/>
                    <pic:cNvPicPr/>
                  </pic:nvPicPr>
                  <pic:blipFill>
                    <a:blip r:embed="rId52">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3"/>
                        </a:ext>
                      </a:extLst>
                    </a:blip>
                    <a:stretch>
                      <a:fillRect/>
                    </a:stretch>
                  </pic:blipFill>
                  <pic:spPr>
                    <a:xfrm>
                      <a:off x="0" y="0"/>
                      <a:ext cx="6120130" cy="3286760"/>
                    </a:xfrm>
                    <a:prstGeom prst="rect">
                      <a:avLst/>
                    </a:prstGeom>
                  </pic:spPr>
                </pic:pic>
              </a:graphicData>
            </a:graphic>
          </wp:inline>
        </w:drawing>
      </w:r>
    </w:p>
    <w:p w14:paraId="3BF3CACD" w14:textId="1FF8D5BD" w:rsidR="006E6D0B" w:rsidRDefault="006E6D0B" w:rsidP="006E6D0B">
      <w:pPr>
        <w:pStyle w:val="NumberedParagraph"/>
      </w:pPr>
      <w:r>
        <w:t xml:space="preserve">Figure 13 presents the trend of </w:t>
      </w:r>
      <w:r w:rsidR="00C76658">
        <w:t xml:space="preserve">the </w:t>
      </w:r>
      <w:r>
        <w:t>capital expenditure ratio in Benue State, comparing budgeted allocations with actual outcomes between 2019 and 2025. The data shows a consistent divergence between the budgeted expectations and the actual performance. In 2019, the State projected that 45% of its expenditure would be allocated to capital investments, but only 11% actual</w:t>
      </w:r>
      <w:r w:rsidR="00C76658">
        <w:t xml:space="preserve"> expenditure was on capital expenditure</w:t>
      </w:r>
      <w:r>
        <w:t xml:space="preserve">. This gap reflects the State’s limited capacity to translate fiscal priorities into real developmental spending, with most funds </w:t>
      </w:r>
      <w:r w:rsidR="00C76658">
        <w:t>channelled</w:t>
      </w:r>
      <w:r>
        <w:t xml:space="preserve"> instead toward recurrent obligations. The following years reflect a similar trend of underperformance in capital expenditure ratios. In 2020, the budgeted ratio fell to 37%, while </w:t>
      </w:r>
      <w:r w:rsidR="00C76658">
        <w:t xml:space="preserve">the </w:t>
      </w:r>
      <w:r>
        <w:t xml:space="preserve">actual </w:t>
      </w:r>
      <w:r w:rsidR="00C76658">
        <w:t>ratio</w:t>
      </w:r>
      <w:r>
        <w:t xml:space="preserve"> slightly decreased to 10%. Th</w:t>
      </w:r>
      <w:r w:rsidR="00C76658">
        <w:t>e trend</w:t>
      </w:r>
      <w:r>
        <w:t xml:space="preserve"> of low capital expenditure suggests that the State remained heavily burdened by recurrent costs such as salaries, pensions, and overheads, leaving little fiscal space for infrastructure and developmental projects. The ratio narrowed further in 2021, </w:t>
      </w:r>
      <w:r w:rsidR="00C76658">
        <w:t>when</w:t>
      </w:r>
      <w:r>
        <w:t xml:space="preserve"> the budgeted target dropped to 32%, but </w:t>
      </w:r>
      <w:r w:rsidR="00C76658">
        <w:t xml:space="preserve">the </w:t>
      </w:r>
      <w:r>
        <w:t>actual remained stagnant at 10%. These three consecutive years reflect a structural imbalance in public finance, where recurrent obligations consistently crowded out developmental investments.</w:t>
      </w:r>
    </w:p>
    <w:p w14:paraId="66017659" w14:textId="2FF63FBC" w:rsidR="00C61F6D" w:rsidRPr="00491461" w:rsidRDefault="006E6D0B" w:rsidP="006E6D0B">
      <w:pPr>
        <w:pStyle w:val="NumberedParagraph"/>
      </w:pPr>
      <w:r>
        <w:t>From 2022 onward, a gradual shift began to emerge. The budgeted ratio was 37%, but the actual rose modestly to 12%, suggesting a slow but deliberate attempt to rebalance expenditure priorities. In 2023, the capital ratio budgeted was 41%, while the actual</w:t>
      </w:r>
      <w:r w:rsidR="00C76658">
        <w:t xml:space="preserve"> ratio</w:t>
      </w:r>
      <w:r>
        <w:t xml:space="preserve"> more than doubled to 24%. This marks a significant change in the pattern, indicating increased commitment toward capital investments and possibly improved fiscal capacity to fund infrastructure projects. The momentum strengthened further in 2024, when the budgeted ratio rose to 51% and the actual</w:t>
      </w:r>
      <w:r w:rsidR="00C76658">
        <w:t xml:space="preserve"> ratio </w:t>
      </w:r>
      <w:r>
        <w:t xml:space="preserve">reached 36%. This sharp increase reflects the most successful alignment between budgeted and actual capital spending in the review period, pointing to better fiscal discipline, stronger revenue </w:t>
      </w:r>
      <w:r w:rsidR="00C76658">
        <w:t>mobilisation</w:t>
      </w:r>
      <w:r>
        <w:t>, or improved access to financing. The trend continues into 2025, where the State projects a capital expenditure ratio of 65%, the highest in the period.</w:t>
      </w:r>
    </w:p>
    <w:p w14:paraId="514C03DC" w14:textId="7E458CD7" w:rsidR="00C61F6D" w:rsidRDefault="00C61F6D" w:rsidP="00C61F6D">
      <w:pPr>
        <w:pStyle w:val="Caption"/>
      </w:pPr>
      <w:bookmarkStart w:id="35" w:name="_Toc208941474"/>
      <w:r>
        <w:lastRenderedPageBreak/>
        <w:t xml:space="preserve">Figure </w:t>
      </w:r>
      <w:fldSimple w:instr=" SEQ Figure \* ARABIC ">
        <w:r w:rsidR="00F60625">
          <w:rPr>
            <w:noProof/>
          </w:rPr>
          <w:t>16</w:t>
        </w:r>
      </w:fldSimple>
      <w:r>
        <w:t>:</w:t>
      </w:r>
      <w:r w:rsidRPr="00C61F6D">
        <w:t xml:space="preserve"> Sector Expenditure Trend</w:t>
      </w:r>
      <w:bookmarkEnd w:id="35"/>
    </w:p>
    <w:p w14:paraId="3C79ED7E" w14:textId="297253A5" w:rsidR="000F3356" w:rsidRPr="000F3356" w:rsidRDefault="000F3356" w:rsidP="000F3356">
      <w:r w:rsidRPr="000F3356">
        <w:rPr>
          <w:noProof/>
          <w:lang w:val="en-US" w:eastAsia="en-US"/>
        </w:rPr>
        <w:drawing>
          <wp:inline distT="0" distB="0" distL="0" distR="0" wp14:anchorId="78C382B2" wp14:editId="6CE316F1">
            <wp:extent cx="6120130" cy="3193415"/>
            <wp:effectExtent l="0" t="0" r="0" b="6985"/>
            <wp:docPr id="13165759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20130" cy="3193415"/>
                    </a:xfrm>
                    <a:prstGeom prst="rect">
                      <a:avLst/>
                    </a:prstGeom>
                    <a:noFill/>
                    <a:ln>
                      <a:noFill/>
                    </a:ln>
                  </pic:spPr>
                </pic:pic>
              </a:graphicData>
            </a:graphic>
          </wp:inline>
        </w:drawing>
      </w:r>
    </w:p>
    <w:p w14:paraId="390A5C6D" w14:textId="7A964013" w:rsidR="000F3356" w:rsidRPr="000F3356" w:rsidRDefault="000F3356" w:rsidP="000F3356">
      <w:pPr>
        <w:pStyle w:val="NumberedParagraph"/>
      </w:pPr>
      <w:r w:rsidRPr="000F3356">
        <w:t>In summary, Benue State’s fiscal performance ranges between 38.57% and 131.13% as depicted in Figure 16. The lowest performance was recorded in 2016, while the highest performance was recorded in 2024, significantly due to impressive revenue performance, particularly FAAC receipts. To sustain the impressive performance of 2024, the state must continue to increase domestic revenue mobilisation, leveraging the new tax reforms introduced by the Federal Government, improve expenditure and risk management, and improve the governance and investment climate of the state to attract new investment opportunities and development/donor support.</w:t>
      </w:r>
    </w:p>
    <w:p w14:paraId="4199284F" w14:textId="77777777" w:rsidR="000F3356" w:rsidRDefault="000F3356" w:rsidP="000F3356">
      <w:pPr>
        <w:pStyle w:val="NumberedParagraph"/>
        <w:numPr>
          <w:ilvl w:val="0"/>
          <w:numId w:val="0"/>
        </w:numPr>
      </w:pPr>
      <w:r w:rsidRPr="00C61F6D">
        <w:t>By Sector</w:t>
      </w:r>
    </w:p>
    <w:p w14:paraId="3A45AB95" w14:textId="77777777" w:rsidR="000F3356" w:rsidRPr="000F3356" w:rsidRDefault="000F3356" w:rsidP="000F3356">
      <w:pPr>
        <w:pStyle w:val="NumberedParagraph"/>
      </w:pPr>
      <w:bookmarkStart w:id="36" w:name="_Toc24052364"/>
      <w:r w:rsidRPr="000F3356">
        <w:t>Analysis of both personnel, overhead &amp; capital budget, and actual expenditure with performance indicators for all sectors from 2019 to 2024 is presented in the Tables below.</w:t>
      </w:r>
      <w:bookmarkEnd w:id="36"/>
    </w:p>
    <w:p w14:paraId="40723DA9" w14:textId="77777777" w:rsidR="000F3356" w:rsidRPr="000F3356" w:rsidRDefault="000F3356" w:rsidP="000F3356">
      <w:pPr>
        <w:sectPr w:rsidR="000F3356" w:rsidRPr="000F3356" w:rsidSect="004C6ABA">
          <w:pgSz w:w="11906" w:h="16838" w:code="9"/>
          <w:pgMar w:top="1304" w:right="1134" w:bottom="1134" w:left="1134" w:header="397" w:footer="397" w:gutter="0"/>
          <w:cols w:space="708"/>
          <w:docGrid w:linePitch="360"/>
        </w:sectPr>
      </w:pPr>
    </w:p>
    <w:p w14:paraId="69370BAC" w14:textId="614519D8" w:rsidR="00A267A0" w:rsidRDefault="00C61F6D" w:rsidP="00D92820">
      <w:pPr>
        <w:pStyle w:val="Caption"/>
      </w:pPr>
      <w:bookmarkStart w:id="37" w:name="_Toc208941481"/>
      <w:r>
        <w:lastRenderedPageBreak/>
        <w:t xml:space="preserve">Table </w:t>
      </w:r>
      <w:fldSimple w:instr=" SEQ Table \* ARABIC ">
        <w:r w:rsidR="00F60625">
          <w:rPr>
            <w:noProof/>
          </w:rPr>
          <w:t>4</w:t>
        </w:r>
      </w:fldSimple>
      <w:r>
        <w:t xml:space="preserve">: </w:t>
      </w:r>
      <w:r w:rsidRPr="00C61F6D">
        <w:t>Sector Expenditure – Budget Vs Actual</w:t>
      </w:r>
      <w:bookmarkEnd w:id="37"/>
    </w:p>
    <w:p w14:paraId="1DD00371" w14:textId="2726C9B7" w:rsidR="00350F7A" w:rsidRDefault="00D92820" w:rsidP="00A267A0">
      <w:r w:rsidRPr="00D92820">
        <w:rPr>
          <w:noProof/>
          <w:lang w:val="en-US" w:eastAsia="en-US"/>
        </w:rPr>
        <w:drawing>
          <wp:inline distT="0" distB="0" distL="0" distR="0" wp14:anchorId="161531B2" wp14:editId="3D8185FE">
            <wp:extent cx="9144000" cy="2678430"/>
            <wp:effectExtent l="0" t="0" r="0" b="1270"/>
            <wp:docPr id="961785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85264" name=""/>
                    <pic:cNvPicPr/>
                  </pic:nvPicPr>
                  <pic:blipFill>
                    <a:blip r:embed="rId55"/>
                    <a:stretch>
                      <a:fillRect/>
                    </a:stretch>
                  </pic:blipFill>
                  <pic:spPr>
                    <a:xfrm>
                      <a:off x="0" y="0"/>
                      <a:ext cx="9144000" cy="2678430"/>
                    </a:xfrm>
                    <a:prstGeom prst="rect">
                      <a:avLst/>
                    </a:prstGeom>
                  </pic:spPr>
                </pic:pic>
              </a:graphicData>
            </a:graphic>
          </wp:inline>
        </w:drawing>
      </w:r>
    </w:p>
    <w:p w14:paraId="27A0F331" w14:textId="7521226B" w:rsidR="00AE6899" w:rsidRDefault="003F5A0E" w:rsidP="00A267A0">
      <w:r w:rsidRPr="003F5A0E">
        <w:rPr>
          <w:noProof/>
          <w:lang w:val="en-US" w:eastAsia="en-US"/>
        </w:rPr>
        <w:drawing>
          <wp:inline distT="0" distB="0" distL="0" distR="0" wp14:anchorId="13326A6B" wp14:editId="0B7415CC">
            <wp:extent cx="9144000" cy="2678430"/>
            <wp:effectExtent l="0" t="0" r="0" b="1270"/>
            <wp:docPr id="1170412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12010" name=""/>
                    <pic:cNvPicPr/>
                  </pic:nvPicPr>
                  <pic:blipFill>
                    <a:blip r:embed="rId56"/>
                    <a:stretch>
                      <a:fillRect/>
                    </a:stretch>
                  </pic:blipFill>
                  <pic:spPr>
                    <a:xfrm>
                      <a:off x="0" y="0"/>
                      <a:ext cx="9144000" cy="2678430"/>
                    </a:xfrm>
                    <a:prstGeom prst="rect">
                      <a:avLst/>
                    </a:prstGeom>
                  </pic:spPr>
                </pic:pic>
              </a:graphicData>
            </a:graphic>
          </wp:inline>
        </w:drawing>
      </w:r>
    </w:p>
    <w:p w14:paraId="4F83B123" w14:textId="21E58AD2" w:rsidR="00075C8F" w:rsidRPr="00A267A0" w:rsidRDefault="00075C8F" w:rsidP="00A267A0">
      <w:r w:rsidRPr="00075C8F">
        <w:rPr>
          <w:noProof/>
          <w:lang w:val="en-US" w:eastAsia="en-US"/>
        </w:rPr>
        <w:lastRenderedPageBreak/>
        <w:drawing>
          <wp:inline distT="0" distB="0" distL="0" distR="0" wp14:anchorId="7E0B524C" wp14:editId="4D4D120B">
            <wp:extent cx="9144000" cy="2656840"/>
            <wp:effectExtent l="0" t="0" r="0" b="0"/>
            <wp:docPr id="682762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62451" name=""/>
                    <pic:cNvPicPr/>
                  </pic:nvPicPr>
                  <pic:blipFill>
                    <a:blip r:embed="rId57"/>
                    <a:stretch>
                      <a:fillRect/>
                    </a:stretch>
                  </pic:blipFill>
                  <pic:spPr>
                    <a:xfrm>
                      <a:off x="0" y="0"/>
                      <a:ext cx="9144000" cy="2656840"/>
                    </a:xfrm>
                    <a:prstGeom prst="rect">
                      <a:avLst/>
                    </a:prstGeom>
                  </pic:spPr>
                </pic:pic>
              </a:graphicData>
            </a:graphic>
          </wp:inline>
        </w:drawing>
      </w:r>
    </w:p>
    <w:p w14:paraId="76842984" w14:textId="47399567" w:rsidR="00C61F6D" w:rsidRDefault="00C61F6D" w:rsidP="00C61F6D"/>
    <w:p w14:paraId="364E7FCC" w14:textId="77777777" w:rsidR="00602AAC" w:rsidRDefault="00602AAC" w:rsidP="00C61F6D">
      <w:pPr>
        <w:pStyle w:val="Heading3"/>
        <w:ind w:left="709" w:hanging="709"/>
        <w:sectPr w:rsidR="00602AAC" w:rsidSect="00602AAC">
          <w:pgSz w:w="16838" w:h="11906" w:orient="landscape" w:code="9"/>
          <w:pgMar w:top="1134" w:right="1304" w:bottom="1134" w:left="1134" w:header="397" w:footer="397" w:gutter="0"/>
          <w:cols w:space="708"/>
          <w:docGrid w:linePitch="360"/>
        </w:sectPr>
      </w:pPr>
    </w:p>
    <w:p w14:paraId="4DC398B6" w14:textId="75BEDDC3" w:rsidR="00C61F6D" w:rsidRDefault="00C61F6D" w:rsidP="00C61F6D">
      <w:pPr>
        <w:pStyle w:val="Heading3"/>
        <w:ind w:left="709" w:hanging="709"/>
      </w:pPr>
      <w:bookmarkStart w:id="38" w:name="_Toc208941445"/>
      <w:r>
        <w:lastRenderedPageBreak/>
        <w:t>Debt Position</w:t>
      </w:r>
      <w:bookmarkEnd w:id="38"/>
    </w:p>
    <w:p w14:paraId="3A039340" w14:textId="3123BE22" w:rsidR="00C61F6D" w:rsidRPr="00C61F6D" w:rsidRDefault="00C61F6D" w:rsidP="00C61F6D">
      <w:pPr>
        <w:pStyle w:val="NumberedParagraph"/>
      </w:pPr>
      <w:r w:rsidRPr="00C61F6D">
        <w:t>A summary of the consolidated debt position for</w:t>
      </w:r>
      <w:r w:rsidR="00932BDE">
        <w:t xml:space="preserve"> Benue</w:t>
      </w:r>
      <w:r w:rsidRPr="00C61F6D">
        <w:t xml:space="preserve"> State Government is provided in the table below.</w:t>
      </w:r>
    </w:p>
    <w:p w14:paraId="2CCCD010" w14:textId="680DB971" w:rsidR="00A267A0" w:rsidRPr="00A267A0" w:rsidRDefault="00C61F6D" w:rsidP="00A267A0">
      <w:pPr>
        <w:pStyle w:val="Caption"/>
      </w:pPr>
      <w:bookmarkStart w:id="39" w:name="_Toc208941482"/>
      <w:r>
        <w:t xml:space="preserve">Table </w:t>
      </w:r>
      <w:fldSimple w:instr=" SEQ Table \* ARABIC ">
        <w:r w:rsidR="00F60625">
          <w:rPr>
            <w:noProof/>
          </w:rPr>
          <w:t>5</w:t>
        </w:r>
      </w:fldSimple>
      <w:r>
        <w:t xml:space="preserve">: </w:t>
      </w:r>
      <w:r w:rsidRPr="00C61F6D">
        <w:t xml:space="preserve">Debt Position as at </w:t>
      </w:r>
      <w:r w:rsidRPr="000E541E">
        <w:t>31</w:t>
      </w:r>
      <w:r w:rsidR="000E541E" w:rsidRPr="000E541E">
        <w:rPr>
          <w:vertAlign w:val="superscript"/>
        </w:rPr>
        <w:t>st</w:t>
      </w:r>
      <w:r w:rsidR="000E541E" w:rsidRPr="000E541E">
        <w:t xml:space="preserve"> </w:t>
      </w:r>
      <w:r w:rsidRPr="000E541E">
        <w:t>December 20</w:t>
      </w:r>
      <w:r w:rsidR="00932BDE" w:rsidRPr="000E541E">
        <w:t>2</w:t>
      </w:r>
      <w:bookmarkEnd w:id="39"/>
      <w:r w:rsidR="000E541E" w:rsidRPr="000E541E">
        <w:t>4</w:t>
      </w:r>
    </w:p>
    <w:p w14:paraId="15C14C95" w14:textId="538DDEF7" w:rsidR="00C61F6D" w:rsidRDefault="00CC4534" w:rsidP="00C61F6D">
      <w:r w:rsidRPr="00CC4534">
        <w:rPr>
          <w:noProof/>
          <w:lang w:val="en-US" w:eastAsia="en-US"/>
        </w:rPr>
        <w:drawing>
          <wp:inline distT="0" distB="0" distL="0" distR="0" wp14:anchorId="04AF9A0D" wp14:editId="3AC19168">
            <wp:extent cx="6187857" cy="3291201"/>
            <wp:effectExtent l="0" t="0" r="3810" b="5080"/>
            <wp:docPr id="114674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42965" name=""/>
                    <pic:cNvPicPr/>
                  </pic:nvPicPr>
                  <pic:blipFill>
                    <a:blip r:embed="rId58"/>
                    <a:stretch>
                      <a:fillRect/>
                    </a:stretch>
                  </pic:blipFill>
                  <pic:spPr>
                    <a:xfrm>
                      <a:off x="0" y="0"/>
                      <a:ext cx="6188316" cy="3291445"/>
                    </a:xfrm>
                    <a:prstGeom prst="rect">
                      <a:avLst/>
                    </a:prstGeom>
                  </pic:spPr>
                </pic:pic>
              </a:graphicData>
            </a:graphic>
          </wp:inline>
        </w:drawing>
      </w:r>
    </w:p>
    <w:p w14:paraId="4C278D90" w14:textId="6D5CF236" w:rsidR="00F03F3D" w:rsidRDefault="00F03F3D" w:rsidP="00F03F3D">
      <w:pPr>
        <w:pStyle w:val="NumberedParagraph"/>
      </w:pPr>
      <w:r>
        <w:t xml:space="preserve">Table 7 presents </w:t>
      </w:r>
      <w:r w:rsidR="000F3356">
        <w:t xml:space="preserve">the </w:t>
      </w:r>
      <w:r>
        <w:t xml:space="preserve">debt sustainability analysis (DSA) of Benue State as </w:t>
      </w:r>
      <w:r w:rsidR="000F3356">
        <w:t>of</w:t>
      </w:r>
      <w:r>
        <w:t xml:space="preserve"> 31st December 2024, disaggregating solvency ratios, liquidity ratios, and overall public debt data. The solvency indicators reveal a mixed picture. The ratio of total domestic debt to internally generated revenue (IGR) stands at a staggering 585.94%, far exceeding the sustainability threshold of 150%. This indicates that the State’s domestic debt burden is disproportionately high relative to its ability to generate revenue internally, suggesting a heavy reliance on borrowing rather than </w:t>
      </w:r>
      <w:proofErr w:type="spellStart"/>
      <w:r>
        <w:t>homegrown</w:t>
      </w:r>
      <w:proofErr w:type="spellEnd"/>
      <w:r>
        <w:t xml:space="preserve"> revenue sources. On the other hand, external debt to gross FAAC (federation account allocation) is 15.27%, which falls comfortably within the sustainability benchmark of 150%. Similarly, total public debt to recurrent revenue stands at 58.20%, well below the threshold of 150%, suggesting that despite high domestic debt exposure, the State’s overall debt relative to recurrent revenue remains within manageable levels. </w:t>
      </w:r>
    </w:p>
    <w:p w14:paraId="246E995E" w14:textId="77777777" w:rsidR="00F03F3D" w:rsidRDefault="00F03F3D" w:rsidP="00F03F3D">
      <w:pPr>
        <w:pStyle w:val="NumberedParagraph"/>
      </w:pPr>
      <w:r>
        <w:t>Turning to liquidity ratios, the analysis paints a concerning picture, especially with respect to domestic debt service. The ratio of domestic debt service to IGR is 265.35%, significantly breaching the recommended ceiling of 15%. This indicates that the internally generated revenue in the State is grossly insufficient to cover its domestic debt service obligations, highlighting acute fiscal stress. Conversely, external debt service to gross FAAC is only 0.99%, well below the 10% benchmark, implying that external debt obligations remain manageable and pose no immediate liquidity threat. Debt service deductions from FAAC as a share of gross FAAC stand at 1.94%, which is also within the permissible threshold of 40%. In addition, total debt service to recurrent revenue is recorded at 20.88%, which, though below the ceiling of 25%, signals that about one-fifth of recurrent revenue is already being absorbed by debt servicing. This reduces fiscal space for recurrent obligations such as salaries, pensions, and overheads.</w:t>
      </w:r>
    </w:p>
    <w:p w14:paraId="27DF41F3" w14:textId="213C3C75" w:rsidR="00C61F6D" w:rsidRPr="00CE7D2C" w:rsidRDefault="00F03F3D" w:rsidP="00F03F3D">
      <w:pPr>
        <w:pStyle w:val="NumberedParagraph"/>
      </w:pPr>
      <w:r>
        <w:t xml:space="preserve">Section B of the table presents the absolute figures for the public debt in Benue State as of December 2024. The total domestic debt amounts to ₦122.58 billion, while total external debt is ₦39.26 billion, bringing the aggregate public debt to ₦161.84 billion. Debt servicing remains a critical issue, with ₦55.51 billion spent on domestic debt service and ₦2.55 billion on external debt service, amounting </w:t>
      </w:r>
      <w:r>
        <w:lastRenderedPageBreak/>
        <w:t>to a combined ₦58.05 billion in total debt service obligations for the year. This debt service burden is disproportionately skewed toward domestic debt, which accounts for over 95% of the total. The scale of domestic debt servicing relative to revenues suggests that Benue State’s fiscal stability is heavily undermined by high interest payments and short-term borrowing pressures. From above, Benue State’s overall debt-to-revenue indicators appear moderate when viewed against external benchmarks</w:t>
      </w:r>
      <w:r w:rsidR="00A03E04">
        <w:t>.</w:t>
      </w:r>
      <w:r>
        <w:t xml:space="preserve"> </w:t>
      </w:r>
      <w:r w:rsidR="00A03E04">
        <w:t>T</w:t>
      </w:r>
      <w:r>
        <w:t xml:space="preserve">he composition and servicing profile of the debt raise serious concerns. The excessive reliance on domestic borrowing, coupled with unsustainable debt service ratios relative to internally generated revenue, </w:t>
      </w:r>
      <w:r w:rsidR="00A03E04">
        <w:t>highlights</w:t>
      </w:r>
      <w:r>
        <w:t xml:space="preserve"> structural weaknesses in revenue </w:t>
      </w:r>
      <w:r w:rsidR="00A03E04">
        <w:t>mobilisation</w:t>
      </w:r>
      <w:r>
        <w:t xml:space="preserve"> and fiscal discipline. The relative comfort in external debt indicators reflects cautious foreign borrowing, but this does not offset the risks posed by the ballooning domestic obligations.</w:t>
      </w:r>
    </w:p>
    <w:p w14:paraId="5E40E44E" w14:textId="7A835F72" w:rsidR="00C61F6D" w:rsidRDefault="00C61F6D" w:rsidP="00C61F6D">
      <w:pPr>
        <w:pStyle w:val="NumberedParagraph"/>
        <w:numPr>
          <w:ilvl w:val="0"/>
          <w:numId w:val="0"/>
        </w:numPr>
        <w:ind w:left="567" w:hanging="567"/>
        <w:rPr>
          <w:highlight w:val="yellow"/>
        </w:rPr>
      </w:pPr>
    </w:p>
    <w:p w14:paraId="1CF193D3" w14:textId="4C587351" w:rsidR="00C61F6D" w:rsidRDefault="00C61F6D" w:rsidP="00C61F6D">
      <w:pPr>
        <w:pStyle w:val="Heading1"/>
      </w:pPr>
      <w:bookmarkStart w:id="40" w:name="_Toc208941446"/>
      <w:r w:rsidRPr="00C61F6D">
        <w:lastRenderedPageBreak/>
        <w:t>Fiscal Strategy Paper</w:t>
      </w:r>
      <w:bookmarkEnd w:id="40"/>
    </w:p>
    <w:p w14:paraId="784CB906" w14:textId="655E9F8B" w:rsidR="00C61F6D" w:rsidRDefault="00C61F6D" w:rsidP="00C61F6D">
      <w:pPr>
        <w:pStyle w:val="Heading2"/>
        <w:ind w:left="709" w:hanging="709"/>
      </w:pPr>
      <w:bookmarkStart w:id="41" w:name="_Ref169106534"/>
      <w:bookmarkStart w:id="42" w:name="_Toc208941447"/>
      <w:r w:rsidRPr="00C61F6D">
        <w:t>Macroeconomic Framework</w:t>
      </w:r>
      <w:bookmarkEnd w:id="41"/>
      <w:bookmarkEnd w:id="42"/>
    </w:p>
    <w:p w14:paraId="7A1B8A82" w14:textId="3E431B40" w:rsidR="00C61F6D" w:rsidRPr="00C61F6D" w:rsidRDefault="00107701" w:rsidP="00C61F6D">
      <w:pPr>
        <w:pStyle w:val="NumberedParagraph"/>
      </w:pPr>
      <w:r w:rsidRPr="00107701">
        <w:t>The Macroeconomic framework is based on:</w:t>
      </w:r>
    </w:p>
    <w:p w14:paraId="3D9E3CE8" w14:textId="3093AB4E" w:rsidR="00107701" w:rsidRDefault="00107701" w:rsidP="00107701">
      <w:pPr>
        <w:pStyle w:val="Caption"/>
      </w:pPr>
      <w:bookmarkStart w:id="43" w:name="_Toc208941475"/>
      <w:r>
        <w:t xml:space="preserve">Figure </w:t>
      </w:r>
      <w:fldSimple w:instr=" SEQ Figure \* ARABIC ">
        <w:r w:rsidR="00F60625">
          <w:rPr>
            <w:noProof/>
          </w:rPr>
          <w:t>17</w:t>
        </w:r>
      </w:fldSimple>
      <w:r>
        <w:t xml:space="preserve">: </w:t>
      </w:r>
      <w:r w:rsidR="00F80339">
        <w:t xml:space="preserve">Benue </w:t>
      </w:r>
      <w:r w:rsidRPr="00107701">
        <w:t>State Macroeconomic Framework</w:t>
      </w:r>
      <w:bookmarkEnd w:id="43"/>
    </w:p>
    <w:p w14:paraId="7550ED33" w14:textId="518C1CCB" w:rsidR="00107701" w:rsidRDefault="001C74CB" w:rsidP="00107701">
      <w:r w:rsidRPr="001C74CB">
        <w:drawing>
          <wp:inline distT="0" distB="0" distL="0" distR="0" wp14:anchorId="47E6BE6D" wp14:editId="7A26DB79">
            <wp:extent cx="6119681" cy="2006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34080" cy="2011321"/>
                    </a:xfrm>
                    <a:prstGeom prst="rect">
                      <a:avLst/>
                    </a:prstGeom>
                    <a:noFill/>
                    <a:ln>
                      <a:noFill/>
                    </a:ln>
                  </pic:spPr>
                </pic:pic>
              </a:graphicData>
            </a:graphic>
          </wp:inline>
        </w:drawing>
      </w:r>
    </w:p>
    <w:p w14:paraId="2DE89EAF" w14:textId="31F791ED" w:rsidR="00107701" w:rsidRDefault="00107701" w:rsidP="00107701">
      <w:pPr>
        <w:pStyle w:val="Heading2"/>
        <w:ind w:left="709" w:hanging="709"/>
      </w:pPr>
      <w:bookmarkStart w:id="44" w:name="_Toc208941448"/>
      <w:r w:rsidRPr="00107701">
        <w:t>Fiscal Strategy and Assumptions</w:t>
      </w:r>
      <w:bookmarkEnd w:id="44"/>
    </w:p>
    <w:p w14:paraId="01A600AD" w14:textId="02BD3D1D" w:rsidR="00107701" w:rsidRPr="001615ED" w:rsidRDefault="00107701" w:rsidP="0078664B">
      <w:pPr>
        <w:pStyle w:val="Heading4"/>
      </w:pPr>
      <w:r w:rsidRPr="001615ED">
        <w:t>Policy Statement</w:t>
      </w:r>
    </w:p>
    <w:p w14:paraId="6C68F8C6" w14:textId="77777777" w:rsidR="00490BD4" w:rsidRPr="00490BD4" w:rsidRDefault="00490BD4" w:rsidP="00490BD4">
      <w:r w:rsidRPr="00490BD4">
        <w:t>The Benue State Government is dedicated to mobilising its citizens to harness the state’s rich agricultural, human, and natural resources to foster sustainable wealth creation, promote individual prosperity, collective development, and peaceful coexistence in a secure, transparent, and accountable environment. Guided by the Benue State Fiscal Responsibility Law 2020, Part V, Section 22(1), the state’s fiscal policy for 2026-2028 emphasises aggregate fiscal discipline, allocative efficiency, and effective spending to position Benue as a leading agricultural and economic hub, leveraging its status as the “Food Basket of the Nation”.</w:t>
      </w:r>
    </w:p>
    <w:p w14:paraId="77321DD4" w14:textId="7BB01A79" w:rsidR="00107701" w:rsidRPr="00107701" w:rsidRDefault="00107701" w:rsidP="0078664B">
      <w:pPr>
        <w:pStyle w:val="Heading4"/>
      </w:pPr>
      <w:r w:rsidRPr="00107701">
        <w:t>Objectives and Targets</w:t>
      </w:r>
    </w:p>
    <w:p w14:paraId="40D18594" w14:textId="34458E0D" w:rsidR="00107701" w:rsidRDefault="00107701" w:rsidP="00107701">
      <w:pPr>
        <w:pStyle w:val="NumberedParagraph"/>
      </w:pPr>
      <w:r w:rsidRPr="00107701">
        <w:t>The key targets from a fiscal perspective are</w:t>
      </w:r>
      <w:r>
        <w:t>:</w:t>
      </w:r>
    </w:p>
    <w:p w14:paraId="7136D703" w14:textId="4DD7E406" w:rsidR="00B70545" w:rsidRDefault="00B70545" w:rsidP="0005209C">
      <w:pPr>
        <w:pStyle w:val="ListBullet"/>
        <w:jc w:val="both"/>
      </w:pPr>
      <w:r w:rsidRPr="00B70545">
        <w:rPr>
          <w:b/>
          <w:bCs/>
        </w:rPr>
        <w:t>Expenditure Optimisation:</w:t>
      </w:r>
      <w:r>
        <w:t xml:space="preserve"> Streamline personnel and overhead costs to allocate at least 45% of the annual budget to capital development, prioritising agriculture, rural infrastructure, and healthcare.</w:t>
      </w:r>
    </w:p>
    <w:p w14:paraId="5FE3703F" w14:textId="77777777" w:rsidR="00B70545" w:rsidRDefault="00B70545" w:rsidP="0005209C">
      <w:pPr>
        <w:pStyle w:val="ListBullet"/>
        <w:jc w:val="both"/>
      </w:pPr>
      <w:r w:rsidRPr="00B70545">
        <w:rPr>
          <w:b/>
          <w:bCs/>
        </w:rPr>
        <w:t>Internally Generated Revenue (IGR) Growth:</w:t>
      </w:r>
      <w:r>
        <w:t xml:space="preserve"> Achieve a 12% annual IGR increase by improving tax administration, adopting digital revenue platforms, and tapping into agriculture, solid minerals, and eco-tourism.</w:t>
      </w:r>
    </w:p>
    <w:p w14:paraId="3355F8C7" w14:textId="77777777" w:rsidR="00B70545" w:rsidRDefault="00B70545" w:rsidP="0005209C">
      <w:pPr>
        <w:pStyle w:val="ListBullet"/>
        <w:jc w:val="both"/>
      </w:pPr>
      <w:r w:rsidRPr="00B70545">
        <w:rPr>
          <w:b/>
          <w:bCs/>
        </w:rPr>
        <w:t>Prudent Debt Management:</w:t>
      </w:r>
      <w:r>
        <w:t xml:space="preserve"> Limit borrowing to capital expenditure projects with high economic returns, ensuring compliance with the Benue State Fiscal Responsibility Law 2020 and maintaining debt-to-revenue ratios within sustainable limits.</w:t>
      </w:r>
    </w:p>
    <w:p w14:paraId="0435C69C" w14:textId="77777777" w:rsidR="00B70545" w:rsidRDefault="00B70545" w:rsidP="0005209C">
      <w:pPr>
        <w:pStyle w:val="ListBullet"/>
        <w:jc w:val="both"/>
      </w:pPr>
      <w:r w:rsidRPr="00B70545">
        <w:rPr>
          <w:b/>
          <w:bCs/>
        </w:rPr>
        <w:t>Diversified Capital Financing:</w:t>
      </w:r>
      <w:r>
        <w:t xml:space="preserve"> Secure at least 15% of capital receipts from non-loan sources, such as Public-Private Partnerships (PPPs), grants, and development partner funding, by 2028.</w:t>
      </w:r>
    </w:p>
    <w:p w14:paraId="1E10F9C2" w14:textId="77777777" w:rsidR="00B70545" w:rsidRDefault="00B70545" w:rsidP="0005209C">
      <w:pPr>
        <w:pStyle w:val="ListBullet"/>
        <w:jc w:val="both"/>
      </w:pPr>
      <w:r w:rsidRPr="00B70545">
        <w:rPr>
          <w:b/>
          <w:bCs/>
        </w:rPr>
        <w:t>Project Completion Focus:</w:t>
      </w:r>
      <w:r>
        <w:t xml:space="preserve"> Complete 75% of ongoing capital projects (e.g., irrigation systems, agro-processing facilities, </w:t>
      </w:r>
      <w:proofErr w:type="gramStart"/>
      <w:r>
        <w:t>rural</w:t>
      </w:r>
      <w:proofErr w:type="gramEnd"/>
      <w:r>
        <w:t xml:space="preserve"> roads) before starting new projects to maximise impact and fiscal efficiency.</w:t>
      </w:r>
    </w:p>
    <w:p w14:paraId="0C4A4BF7" w14:textId="77777777" w:rsidR="00B70545" w:rsidRDefault="00B70545" w:rsidP="0005209C">
      <w:pPr>
        <w:pStyle w:val="ListBullet"/>
        <w:jc w:val="both"/>
      </w:pPr>
      <w:r w:rsidRPr="00B70545">
        <w:rPr>
          <w:b/>
          <w:bCs/>
        </w:rPr>
        <w:t>Economic Growth through Agriculture</w:t>
      </w:r>
      <w:r>
        <w:t xml:space="preserve">: Drive a 4% annual increase in state GDP by investing in agriculture (rice, yams, cassava, </w:t>
      </w:r>
      <w:proofErr w:type="gramStart"/>
      <w:r>
        <w:t>soybeans</w:t>
      </w:r>
      <w:proofErr w:type="gramEnd"/>
      <w:r>
        <w:t>) and agro-allied industries, supported by value chain development.</w:t>
      </w:r>
    </w:p>
    <w:p w14:paraId="53F9D5D9" w14:textId="77777777" w:rsidR="00D179E4" w:rsidRDefault="00B70545" w:rsidP="0005209C">
      <w:pPr>
        <w:pStyle w:val="ListBullet"/>
        <w:jc w:val="both"/>
      </w:pPr>
      <w:r w:rsidRPr="00B70545">
        <w:rPr>
          <w:b/>
          <w:bCs/>
        </w:rPr>
        <w:lastRenderedPageBreak/>
        <w:t>Fiscal Transparency:</w:t>
      </w:r>
      <w:r>
        <w:t xml:space="preserve"> Introduce the State Integrated Financial Management Information System (SIFMIS) to ensure real-time budget monitoring and management, public access to fiscal data, and compliance with statutory reporting requirements.</w:t>
      </w:r>
      <w:r w:rsidR="00D179E4" w:rsidRPr="00D179E4">
        <w:t xml:space="preserve"> </w:t>
      </w:r>
    </w:p>
    <w:p w14:paraId="54079A81" w14:textId="6F5CA52B" w:rsidR="00D179E4" w:rsidRDefault="00D179E4" w:rsidP="0005209C">
      <w:pPr>
        <w:pStyle w:val="ListBullet"/>
        <w:jc w:val="both"/>
      </w:pPr>
      <w:r w:rsidRPr="00D179E4">
        <w:rPr>
          <w:b/>
          <w:bCs/>
        </w:rPr>
        <w:t>Agricultural Modernisation:</w:t>
      </w:r>
      <w:r>
        <w:t xml:space="preserve"> Allocate 20% of capital expenditure to agricultural transformation, including mechanisation, irrigation, and Agricultural Development Zones (ADZs) to boost commercial farming and exports.</w:t>
      </w:r>
    </w:p>
    <w:p w14:paraId="42BF3349" w14:textId="40147E2B" w:rsidR="00D179E4" w:rsidRDefault="00D179E4" w:rsidP="0005209C">
      <w:pPr>
        <w:pStyle w:val="ListBullet"/>
        <w:jc w:val="both"/>
      </w:pPr>
      <w:r w:rsidRPr="00D179E4">
        <w:rPr>
          <w:b/>
          <w:bCs/>
        </w:rPr>
        <w:t>Climate Resilience:</w:t>
      </w:r>
      <w:r>
        <w:t xml:space="preserve"> Invest in flood control infrastructure, drought-resistant crops, and solar-powered irrigation to safeguard agricultural productivity, targeting a 10% reduction in climate-related economic losses by 2028.</w:t>
      </w:r>
    </w:p>
    <w:p w14:paraId="3C1F4AFD" w14:textId="3BC53B46" w:rsidR="00D179E4" w:rsidRDefault="00D179E4" w:rsidP="0005209C">
      <w:pPr>
        <w:pStyle w:val="ListBullet"/>
        <w:jc w:val="both"/>
      </w:pPr>
      <w:r w:rsidRPr="00D179E4">
        <w:rPr>
          <w:b/>
          <w:bCs/>
        </w:rPr>
        <w:t>Social Inclusion:</w:t>
      </w:r>
      <w:r>
        <w:t xml:space="preserve"> Expand social investment programs, such as youth and women empowerment initiatives and microfinance schemes, reaching 80,000 beneficiaries annually to reduce poverty and unemployment.</w:t>
      </w:r>
    </w:p>
    <w:p w14:paraId="178CB317" w14:textId="4B6452C1" w:rsidR="00D179E4" w:rsidRDefault="00D179E4" w:rsidP="0005209C">
      <w:pPr>
        <w:pStyle w:val="ListBullet"/>
        <w:jc w:val="both"/>
      </w:pPr>
      <w:r w:rsidRPr="00D179E4">
        <w:rPr>
          <w:b/>
          <w:bCs/>
        </w:rPr>
        <w:t>Digital Revenue Systems:</w:t>
      </w:r>
      <w:r>
        <w:t xml:space="preserve"> Implement digital tax collection and expenditure tracking platforms to reduce revenue leakages by 25% and enhance fiscal transparency by 2028.</w:t>
      </w:r>
    </w:p>
    <w:p w14:paraId="0BBF3168" w14:textId="09FD59B4" w:rsidR="00D179E4" w:rsidRDefault="00D179E4" w:rsidP="0005209C">
      <w:pPr>
        <w:pStyle w:val="ListBullet"/>
        <w:jc w:val="both"/>
      </w:pPr>
      <w:r w:rsidRPr="0005209C">
        <w:rPr>
          <w:b/>
          <w:bCs/>
        </w:rPr>
        <w:t>Solid Minerals and Tourism:</w:t>
      </w:r>
      <w:r>
        <w:t xml:space="preserve"> Develop frameworks for sustainable mining (e.g., limestone, kaolin) and eco-tourism, targeting 3% of IGR from these sectors by 2028.</w:t>
      </w:r>
    </w:p>
    <w:p w14:paraId="40D7112A" w14:textId="0546EC78" w:rsidR="00D179E4" w:rsidRDefault="00D179E4" w:rsidP="0005209C">
      <w:pPr>
        <w:pStyle w:val="ListBullet"/>
        <w:jc w:val="both"/>
      </w:pPr>
      <w:r w:rsidRPr="0005209C">
        <w:rPr>
          <w:b/>
          <w:bCs/>
        </w:rPr>
        <w:t>Security for Economic Stability:</w:t>
      </w:r>
      <w:r>
        <w:t xml:space="preserve"> Strengthen security through community policing and surveillance systems to support agricultural and economic activities, allocating 5% of the budget to security infrastructure.</w:t>
      </w:r>
    </w:p>
    <w:p w14:paraId="53DEAC6F" w14:textId="60B20E5F" w:rsidR="00107701" w:rsidRPr="00B70545" w:rsidRDefault="00D179E4" w:rsidP="0005209C">
      <w:pPr>
        <w:pStyle w:val="ListBullet"/>
        <w:jc w:val="both"/>
      </w:pPr>
      <w:r w:rsidRPr="0005209C">
        <w:rPr>
          <w:b/>
          <w:bCs/>
        </w:rPr>
        <w:t>Stakeholder Engagement:</w:t>
      </w:r>
      <w:r>
        <w:t xml:space="preserve"> Establish a Fiscal Strategy Implementation Committee with private sector, civil society, and community representation to ensure inclusive policy execution and accountability.</w:t>
      </w:r>
    </w:p>
    <w:p w14:paraId="67E85617" w14:textId="40AF65A2" w:rsidR="00107701" w:rsidRDefault="00107701" w:rsidP="00107701">
      <w:pPr>
        <w:pStyle w:val="Heading2"/>
        <w:ind w:left="709" w:hanging="709"/>
      </w:pPr>
      <w:bookmarkStart w:id="45" w:name="_Ref169106579"/>
      <w:bookmarkStart w:id="46" w:name="_Toc208941449"/>
      <w:r w:rsidRPr="00107701">
        <w:t>Indicative Three-Year Fiscal Framework</w:t>
      </w:r>
      <w:bookmarkEnd w:id="45"/>
      <w:bookmarkEnd w:id="46"/>
    </w:p>
    <w:p w14:paraId="2E2D6C06" w14:textId="72B1673C" w:rsidR="00107701" w:rsidRPr="0062606E" w:rsidRDefault="00107701" w:rsidP="001858B4">
      <w:pPr>
        <w:pStyle w:val="NumberedParagraph"/>
      </w:pPr>
      <w:r w:rsidRPr="00107701">
        <w:t>The indicative three-year fiscal framework for the period 20</w:t>
      </w:r>
      <w:r w:rsidR="00B70545">
        <w:t>26</w:t>
      </w:r>
      <w:r w:rsidRPr="00107701">
        <w:t>-20</w:t>
      </w:r>
      <w:r w:rsidR="005B5A02">
        <w:t>28</w:t>
      </w:r>
      <w:r w:rsidRPr="00107701">
        <w:t xml:space="preserve"> is presented in the table below</w:t>
      </w:r>
      <w:r>
        <w:t>.</w:t>
      </w:r>
    </w:p>
    <w:p w14:paraId="7E291C7A" w14:textId="35B25A94" w:rsidR="00107701" w:rsidRDefault="00107701" w:rsidP="00107701">
      <w:pPr>
        <w:pStyle w:val="Caption"/>
      </w:pPr>
      <w:bookmarkStart w:id="47" w:name="_Toc208941483"/>
      <w:r>
        <w:lastRenderedPageBreak/>
        <w:t xml:space="preserve">Table </w:t>
      </w:r>
      <w:fldSimple w:instr=" SEQ Table \* ARABIC ">
        <w:r w:rsidR="00F60625">
          <w:rPr>
            <w:noProof/>
          </w:rPr>
          <w:t>6</w:t>
        </w:r>
      </w:fldSimple>
      <w:r>
        <w:t xml:space="preserve">: </w:t>
      </w:r>
      <w:r w:rsidR="005B5A02">
        <w:t xml:space="preserve">Benue </w:t>
      </w:r>
      <w:r>
        <w:t>State Medium Term Fiscal Framework</w:t>
      </w:r>
      <w:bookmarkEnd w:id="47"/>
    </w:p>
    <w:p w14:paraId="1649BFC0" w14:textId="52D3A71F" w:rsidR="00B672E3" w:rsidRPr="00B672E3" w:rsidRDefault="00B672E3" w:rsidP="00B672E3">
      <w:r w:rsidRPr="00B672E3">
        <w:drawing>
          <wp:inline distT="0" distB="0" distL="0" distR="0" wp14:anchorId="1703E544" wp14:editId="7C83FA83">
            <wp:extent cx="6120130" cy="57391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5739110"/>
                    </a:xfrm>
                    <a:prstGeom prst="rect">
                      <a:avLst/>
                    </a:prstGeom>
                    <a:noFill/>
                    <a:ln>
                      <a:noFill/>
                    </a:ln>
                  </pic:spPr>
                </pic:pic>
              </a:graphicData>
            </a:graphic>
          </wp:inline>
        </w:drawing>
      </w:r>
    </w:p>
    <w:p w14:paraId="3E693BA0" w14:textId="247509BF" w:rsidR="00602AAC" w:rsidRPr="00BC5376" w:rsidRDefault="0062606E" w:rsidP="00BC5376">
      <w:pPr>
        <w:pStyle w:val="Heading3"/>
        <w:ind w:left="709" w:hanging="709"/>
      </w:pPr>
      <w:bookmarkStart w:id="48" w:name="_Toc208941450"/>
      <w:r>
        <w:t>Assumptions</w:t>
      </w:r>
      <w:bookmarkEnd w:id="48"/>
    </w:p>
    <w:p w14:paraId="1811F9D0" w14:textId="6FDADDA1" w:rsidR="00602AAC" w:rsidRPr="00BC5376" w:rsidRDefault="0062606E" w:rsidP="00BC5376">
      <w:pPr>
        <w:pStyle w:val="NumberedParagraph"/>
      </w:pPr>
      <w:r w:rsidRPr="0062606E">
        <w:rPr>
          <w:b/>
          <w:bCs/>
        </w:rPr>
        <w:t xml:space="preserve">Statutory Allocation – </w:t>
      </w:r>
      <w:r w:rsidR="00A36BF0" w:rsidRPr="00A36BF0">
        <w:t>The forecast for the statutory allocation is based on the benchmarked oil price, exchange rate</w:t>
      </w:r>
      <w:r w:rsidR="00A36BF0">
        <w:t>,</w:t>
      </w:r>
      <w:r w:rsidR="00A36BF0" w:rsidRPr="00A36BF0">
        <w:t xml:space="preserve"> and the oil production Benchmark for the 3 years</w:t>
      </w:r>
      <w:r w:rsidR="00A03E04">
        <w:t xml:space="preserve"> indicated in Section 3. A</w:t>
      </w:r>
      <w:r w:rsidR="00A36BF0" w:rsidRPr="00A36BF0">
        <w:t xml:space="preserve">. </w:t>
      </w:r>
      <w:r w:rsidR="00A03E04">
        <w:t xml:space="preserve">However, this is in line with the advisory </w:t>
      </w:r>
      <w:r w:rsidR="00B17802">
        <w:t xml:space="preserve">note on the 2026-2028 macroeconomic framework provided by the Nigerian Governors Forum. The FGN, 2026-2028 MTEF/FSP is yet to be finalised. However, the State will continue to monitor to ensure that the assumptions are consistent with the assumptions that will be in the FGN 2026-2028 MTEF/FSP. </w:t>
      </w:r>
    </w:p>
    <w:p w14:paraId="50F2DA47" w14:textId="751DFB63" w:rsidR="0062606E" w:rsidRPr="0062606E" w:rsidRDefault="0062606E" w:rsidP="0062606E">
      <w:pPr>
        <w:pStyle w:val="NumberedParagraph"/>
        <w:rPr>
          <w:b/>
          <w:bCs/>
        </w:rPr>
      </w:pPr>
      <w:r w:rsidRPr="0062606E">
        <w:rPr>
          <w:b/>
          <w:bCs/>
        </w:rPr>
        <w:t xml:space="preserve">VAT – </w:t>
      </w:r>
      <w:r w:rsidR="000206A1">
        <w:t xml:space="preserve">The </w:t>
      </w:r>
      <w:r w:rsidR="000206A1" w:rsidRPr="000206A1">
        <w:t xml:space="preserve">elasticity </w:t>
      </w:r>
      <w:r w:rsidR="00E06E08">
        <w:t xml:space="preserve">techniques </w:t>
      </w:r>
      <w:r w:rsidR="000206A1" w:rsidRPr="000206A1">
        <w:t xml:space="preserve">based on the </w:t>
      </w:r>
      <w:r w:rsidR="00B17802">
        <w:t>macroeconomic assumptions as explained above and on the assumption that the VAT rate will remain at 7.5% were</w:t>
      </w:r>
      <w:r w:rsidR="000206A1" w:rsidRPr="000206A1">
        <w:t xml:space="preserve"> used to forecast VAT for 202</w:t>
      </w:r>
      <w:r w:rsidR="00E06E08">
        <w:t>6</w:t>
      </w:r>
      <w:r w:rsidR="000206A1" w:rsidRPr="000206A1">
        <w:t>-202</w:t>
      </w:r>
      <w:r w:rsidR="00E06E08">
        <w:t>8</w:t>
      </w:r>
      <w:r w:rsidR="000206A1" w:rsidRPr="000206A1">
        <w:t xml:space="preserve">. This forecast </w:t>
      </w:r>
      <w:r w:rsidR="00B17802">
        <w:t>also noted that the State’s share of the VAT will increase from 50% to 55% and other emerging issues with the new Tax Acts o</w:t>
      </w:r>
      <w:r w:rsidR="00FE7D8B">
        <w:t>n</w:t>
      </w:r>
      <w:r w:rsidR="00B17802">
        <w:t xml:space="preserve"> the mode of sharing across the States. </w:t>
      </w:r>
    </w:p>
    <w:p w14:paraId="70D0E62A" w14:textId="7D61B5FE" w:rsidR="0062606E" w:rsidRPr="0062606E" w:rsidRDefault="00BC5376" w:rsidP="0062606E">
      <w:pPr>
        <w:pStyle w:val="NumberedParagraph"/>
        <w:rPr>
          <w:b/>
          <w:bCs/>
        </w:rPr>
      </w:pPr>
      <w:r>
        <w:rPr>
          <w:b/>
          <w:bCs/>
        </w:rPr>
        <w:t xml:space="preserve">Other Federation Account Receipts </w:t>
      </w:r>
      <w:r w:rsidR="0062606E" w:rsidRPr="0062606E">
        <w:rPr>
          <w:b/>
          <w:bCs/>
        </w:rPr>
        <w:t xml:space="preserve">– </w:t>
      </w:r>
      <w:r w:rsidR="002E0B30">
        <w:rPr>
          <w:b/>
          <w:bCs/>
        </w:rPr>
        <w:t>T</w:t>
      </w:r>
      <w:r w:rsidR="00367586" w:rsidRPr="00367586">
        <w:t>he estimation</w:t>
      </w:r>
      <w:r w:rsidR="002E0B30">
        <w:t xml:space="preserve"> for other </w:t>
      </w:r>
      <w:r w:rsidR="00AD007F">
        <w:t>federation account receipts</w:t>
      </w:r>
      <w:r w:rsidR="00367586" w:rsidRPr="00367586">
        <w:t xml:space="preserve"> is based on the</w:t>
      </w:r>
      <w:r w:rsidR="00FE7D8B">
        <w:t xml:space="preserve"> own value forecast, calculating the</w:t>
      </w:r>
      <w:r w:rsidR="00367586" w:rsidRPr="00367586">
        <w:t xml:space="preserve"> </w:t>
      </w:r>
      <w:r w:rsidR="00FE7D8B">
        <w:t xml:space="preserve">anticipated receipts for 2026, 2027 and 2028. </w:t>
      </w:r>
      <w:r w:rsidR="007B7D8A">
        <w:t xml:space="preserve">More importantly, </w:t>
      </w:r>
      <w:r w:rsidR="00FE7D8B">
        <w:t xml:space="preserve">the State </w:t>
      </w:r>
      <w:r w:rsidR="00A466EB">
        <w:t>considered</w:t>
      </w:r>
      <w:r w:rsidR="007B7D8A">
        <w:t xml:space="preserve"> the </w:t>
      </w:r>
      <w:r w:rsidR="00A466EB">
        <w:t xml:space="preserve">dynamics around the current year receipts so far and </w:t>
      </w:r>
      <w:r w:rsidR="00697095">
        <w:t>used them to estimate receipts over the next three years.</w:t>
      </w:r>
    </w:p>
    <w:p w14:paraId="799C7541" w14:textId="4B012ACF" w:rsidR="0062606E" w:rsidRPr="00C92966" w:rsidRDefault="0062606E" w:rsidP="00C92966">
      <w:pPr>
        <w:pStyle w:val="NumberedParagraph"/>
        <w:rPr>
          <w:b/>
          <w:bCs/>
        </w:rPr>
      </w:pPr>
      <w:r w:rsidRPr="0062606E">
        <w:rPr>
          <w:b/>
          <w:bCs/>
        </w:rPr>
        <w:lastRenderedPageBreak/>
        <w:t xml:space="preserve">Internally Generated Revenue (IGR) – </w:t>
      </w:r>
      <w:r w:rsidR="00C05906" w:rsidRPr="00C05906">
        <w:t>The current administration is improving on the ongoing measures to grow IGR. These measures</w:t>
      </w:r>
      <w:r w:rsidR="0024602F">
        <w:t xml:space="preserve">, taken into consideration the </w:t>
      </w:r>
      <w:r w:rsidR="007B496A">
        <w:t xml:space="preserve">impact of the </w:t>
      </w:r>
      <w:r w:rsidR="00116691">
        <w:t>new federal tax law</w:t>
      </w:r>
      <w:r w:rsidR="007B496A">
        <w:t xml:space="preserve"> due to take effect next year,</w:t>
      </w:r>
      <w:r w:rsidR="00116691">
        <w:t xml:space="preserve"> </w:t>
      </w:r>
      <w:r w:rsidR="007B496A">
        <w:t>are</w:t>
      </w:r>
      <w:r w:rsidR="009D409C">
        <w:t xml:space="preserve"> anticipated</w:t>
      </w:r>
      <w:r w:rsidR="00C05906" w:rsidRPr="00C05906">
        <w:t xml:space="preserve"> </w:t>
      </w:r>
      <w:r w:rsidR="007B496A">
        <w:t>to yield</w:t>
      </w:r>
      <w:r w:rsidR="00C05906" w:rsidRPr="00C05906">
        <w:t xml:space="preserve"> results as actual IGR for the current year is increasing. It is anticipated that IGR will continue to increase by </w:t>
      </w:r>
      <w:r w:rsidR="008F473D">
        <w:t>15.5</w:t>
      </w:r>
      <w:r w:rsidR="00C05906" w:rsidRPr="00C05906">
        <w:t>% in the current year and start to stabilise from 202</w:t>
      </w:r>
      <w:r w:rsidR="00B672E3">
        <w:t>7</w:t>
      </w:r>
      <w:r w:rsidR="009434D1">
        <w:t>,</w:t>
      </w:r>
      <w:r w:rsidR="00C05906" w:rsidRPr="00C05906">
        <w:t xml:space="preserve"> with a minimum annual growth of </w:t>
      </w:r>
      <w:r w:rsidR="00B672E3">
        <w:t>17.35</w:t>
      </w:r>
      <w:r w:rsidR="00C05906" w:rsidRPr="00C05906">
        <w:t>%</w:t>
      </w:r>
      <w:r w:rsidR="00B672E3">
        <w:t xml:space="preserve"> and </w:t>
      </w:r>
      <w:r w:rsidR="008F473D">
        <w:t>1</w:t>
      </w:r>
      <w:r w:rsidR="00B672E3">
        <w:t>5% in 2028</w:t>
      </w:r>
      <w:r w:rsidR="009434D1">
        <w:t xml:space="preserve"> and </w:t>
      </w:r>
      <w:r w:rsidR="00B672E3">
        <w:t>15.90% 2029</w:t>
      </w:r>
      <w:r w:rsidR="00C05906" w:rsidRPr="00C05906">
        <w:t xml:space="preserve">. </w:t>
      </w:r>
      <w:r w:rsidR="00243D03">
        <w:t>T</w:t>
      </w:r>
      <w:r w:rsidR="00243D03" w:rsidRPr="00C05906">
        <w:t>herefore</w:t>
      </w:r>
      <w:r w:rsidR="00243D03">
        <w:t>,</w:t>
      </w:r>
      <w:r w:rsidR="00243D03" w:rsidRPr="00C05906">
        <w:t xml:space="preserve"> </w:t>
      </w:r>
      <w:r w:rsidR="00C05906" w:rsidRPr="00C05906">
        <w:t>Own Percentage is used to forecast IGR for 202</w:t>
      </w:r>
      <w:r w:rsidR="008F473D">
        <w:t>7</w:t>
      </w:r>
      <w:r w:rsidR="00C05906" w:rsidRPr="00C05906">
        <w:t xml:space="preserve"> – 202</w:t>
      </w:r>
      <w:r w:rsidR="008F473D">
        <w:t>9</w:t>
      </w:r>
      <w:r w:rsidR="00C05906" w:rsidRPr="00C05906">
        <w:t>.</w:t>
      </w:r>
    </w:p>
    <w:p w14:paraId="28F805F9" w14:textId="540FBDD2" w:rsidR="0062606E" w:rsidRPr="00C92966" w:rsidRDefault="0062606E" w:rsidP="0062606E">
      <w:pPr>
        <w:pStyle w:val="NumberedParagraph"/>
      </w:pPr>
      <w:r w:rsidRPr="0062606E">
        <w:rPr>
          <w:b/>
          <w:bCs/>
        </w:rPr>
        <w:t xml:space="preserve">Grants – </w:t>
      </w:r>
      <w:r w:rsidR="00C92966" w:rsidRPr="00C92966">
        <w:t xml:space="preserve">The internal grants are based on the </w:t>
      </w:r>
      <w:r w:rsidR="00C92966" w:rsidRPr="00152C9E">
        <w:t xml:space="preserve">actual </w:t>
      </w:r>
      <w:r w:rsidR="00FE7D8B" w:rsidRPr="00152C9E">
        <w:t>anticipated inflows,</w:t>
      </w:r>
      <w:r w:rsidR="00FE7D8B">
        <w:t xml:space="preserve"> where the states have already signed a memorandum of understanding. </w:t>
      </w:r>
      <w:r w:rsidR="00C92966" w:rsidRPr="00C92966">
        <w:t xml:space="preserve">External grants are </w:t>
      </w:r>
      <w:r w:rsidR="00FE7D8B">
        <w:t xml:space="preserve">also </w:t>
      </w:r>
      <w:r w:rsidR="00C92966" w:rsidRPr="00C92966">
        <w:t>based on signed grant agreements with the development partners</w:t>
      </w:r>
      <w:r w:rsidR="00FE7D8B">
        <w:t>.</w:t>
      </w:r>
    </w:p>
    <w:p w14:paraId="383F4DA4" w14:textId="2F136A81" w:rsidR="0062606E" w:rsidRPr="0062606E" w:rsidRDefault="0062606E" w:rsidP="0062606E">
      <w:pPr>
        <w:pStyle w:val="NumberedParagraph"/>
        <w:rPr>
          <w:b/>
          <w:bCs/>
        </w:rPr>
      </w:pPr>
      <w:r w:rsidRPr="0062606E">
        <w:rPr>
          <w:b/>
          <w:bCs/>
        </w:rPr>
        <w:t xml:space="preserve">Financing (Net Loans) – </w:t>
      </w:r>
      <w:r w:rsidR="00066B58" w:rsidRPr="00066B58">
        <w:t xml:space="preserve">The </w:t>
      </w:r>
      <w:r w:rsidR="00066B58">
        <w:t xml:space="preserve">Benue </w:t>
      </w:r>
      <w:r w:rsidR="00066B58" w:rsidRPr="00066B58">
        <w:t>State intends to secure an external loan/borrowing of about N</w:t>
      </w:r>
      <w:r w:rsidR="00FE7D8B">
        <w:t>37</w:t>
      </w:r>
      <w:r w:rsidR="00066B58" w:rsidRPr="00066B58">
        <w:t xml:space="preserve"> billion in 202</w:t>
      </w:r>
      <w:r w:rsidR="00FE7D8B">
        <w:t>6 (mainly from World Bank)</w:t>
      </w:r>
      <w:r w:rsidR="00066B58" w:rsidRPr="00066B58">
        <w:t>.</w:t>
      </w:r>
      <w:r w:rsidR="00FE7D8B">
        <w:t xml:space="preserve"> However, the State is not planning to take any loan from Domestic Sources</w:t>
      </w:r>
      <w:r w:rsidR="009434D1">
        <w:t xml:space="preserve"> in 2026</w:t>
      </w:r>
      <w:r w:rsidR="00FE7D8B">
        <w:t xml:space="preserve">, </w:t>
      </w:r>
      <w:r w:rsidR="00F76625">
        <w:t>due to</w:t>
      </w:r>
      <w:r w:rsidR="00FE7D8B">
        <w:t xml:space="preserve"> the current adverse solvency and liquidity ratios around total domestic loans and domestic loans servicing costs</w:t>
      </w:r>
      <w:r w:rsidR="00066B58" w:rsidRPr="00066B58">
        <w:t>.</w:t>
      </w:r>
    </w:p>
    <w:p w14:paraId="1894A36C" w14:textId="3ED1C2E9" w:rsidR="0062606E" w:rsidRPr="0062606E" w:rsidRDefault="0062606E" w:rsidP="0062606E">
      <w:pPr>
        <w:pStyle w:val="NumberedParagraph"/>
        <w:rPr>
          <w:b/>
          <w:bCs/>
        </w:rPr>
      </w:pPr>
      <w:r w:rsidRPr="0062606E">
        <w:rPr>
          <w:b/>
          <w:bCs/>
        </w:rPr>
        <w:t xml:space="preserve">Personnel – </w:t>
      </w:r>
      <w:r w:rsidR="009434D1">
        <w:t xml:space="preserve">The </w:t>
      </w:r>
      <w:r w:rsidR="00532A18" w:rsidRPr="00532A18">
        <w:t>new minimum wage</w:t>
      </w:r>
      <w:r w:rsidR="009434D1">
        <w:t xml:space="preserve"> </w:t>
      </w:r>
      <w:r w:rsidR="009434D1" w:rsidRPr="00152C9E">
        <w:t xml:space="preserve">was </w:t>
      </w:r>
      <w:r w:rsidR="00C109A0" w:rsidRPr="00152C9E">
        <w:t>operationalised</w:t>
      </w:r>
      <w:r w:rsidR="009434D1">
        <w:t xml:space="preserve"> in 2024, hence the spike in the actual </w:t>
      </w:r>
      <w:r w:rsidR="00C109A0">
        <w:t xml:space="preserve">personnel </w:t>
      </w:r>
      <w:r w:rsidR="009434D1">
        <w:t>expenditure in 2024</w:t>
      </w:r>
      <w:r w:rsidR="00C109A0">
        <w:t xml:space="preserve"> (i.e., 53% increase from 2023 actual expenditure)</w:t>
      </w:r>
      <w:r w:rsidR="009434D1">
        <w:t xml:space="preserve">. </w:t>
      </w:r>
      <w:r w:rsidR="00C109A0">
        <w:t>However, it</w:t>
      </w:r>
      <w:r w:rsidR="009434D1">
        <w:t xml:space="preserve"> is anticipated that the trend will stabilise in 2025 </w:t>
      </w:r>
      <w:r w:rsidR="00C109A0">
        <w:t>and 2026. Own percentage forecast was used to f</w:t>
      </w:r>
      <w:r w:rsidR="008F473D">
        <w:t>orecast personnel costs for 2027, 2028, and 2029</w:t>
      </w:r>
      <w:bookmarkStart w:id="49" w:name="_GoBack"/>
      <w:bookmarkEnd w:id="49"/>
      <w:r w:rsidR="00C109A0">
        <w:t xml:space="preserve">. </w:t>
      </w:r>
      <w:r w:rsidR="00532A18" w:rsidRPr="00532A18">
        <w:t xml:space="preserve">The projection is that </w:t>
      </w:r>
      <w:r w:rsidR="00F76625">
        <w:t xml:space="preserve">the </w:t>
      </w:r>
      <w:r w:rsidR="00532A18" w:rsidRPr="00532A18">
        <w:t>total wage bill will increase by 1</w:t>
      </w:r>
      <w:r w:rsidR="00C109A0">
        <w:t>2</w:t>
      </w:r>
      <w:r w:rsidR="00532A18" w:rsidRPr="00532A18">
        <w:t>% in 202</w:t>
      </w:r>
      <w:r w:rsidR="00C109A0">
        <w:t>5</w:t>
      </w:r>
      <w:r w:rsidR="00532A18" w:rsidRPr="00532A18">
        <w:t>, with a gradual increase of 1</w:t>
      </w:r>
      <w:r w:rsidR="00F93420">
        <w:t>0</w:t>
      </w:r>
      <w:r w:rsidR="00532A18" w:rsidRPr="00532A18">
        <w:t xml:space="preserve">%, </w:t>
      </w:r>
      <w:r w:rsidR="00F93420">
        <w:t>5</w:t>
      </w:r>
      <w:r w:rsidR="00532A18" w:rsidRPr="00532A18">
        <w:t xml:space="preserve">% and </w:t>
      </w:r>
      <w:r w:rsidR="00F93420">
        <w:t>3</w:t>
      </w:r>
      <w:r w:rsidR="00532A18" w:rsidRPr="00532A18">
        <w:t>% over the 202</w:t>
      </w:r>
      <w:r w:rsidR="00F93420">
        <w:t>6</w:t>
      </w:r>
      <w:r w:rsidR="00532A18" w:rsidRPr="00532A18">
        <w:t>–202</w:t>
      </w:r>
      <w:r w:rsidR="00F93420">
        <w:t>8</w:t>
      </w:r>
      <w:r w:rsidR="00532A18" w:rsidRPr="00532A18">
        <w:t xml:space="preserve"> fiscal years. </w:t>
      </w:r>
      <w:r w:rsidR="00532A18" w:rsidRPr="00532A18">
        <w:rPr>
          <w:b/>
          <w:bCs/>
        </w:rPr>
        <w:t xml:space="preserve"> </w:t>
      </w:r>
    </w:p>
    <w:p w14:paraId="5975212F" w14:textId="7D423B2F" w:rsidR="00602AAC" w:rsidRPr="00377BF9" w:rsidRDefault="00602AAC" w:rsidP="002743DF">
      <w:pPr>
        <w:pStyle w:val="NumberedParagraph"/>
        <w:rPr>
          <w:b/>
          <w:bCs/>
        </w:rPr>
      </w:pPr>
      <w:r>
        <w:rPr>
          <w:b/>
          <w:bCs/>
        </w:rPr>
        <w:t xml:space="preserve">Social Benefits – </w:t>
      </w:r>
      <w:r w:rsidR="002743DF" w:rsidRPr="002743DF">
        <w:t>A substantial amount</w:t>
      </w:r>
      <w:r w:rsidR="00377BF9">
        <w:t xml:space="preserve"> </w:t>
      </w:r>
      <w:r w:rsidR="00F93420">
        <w:t>of pensions and gratuity was owed by the State before the inauguration of the current administration. A substantial proportion of the outstanding social benefits costs was paid in 2024, resulting in an increase of 112% from the 2023 actual expenditure. It is anticipated that there will be a reduction in social benefit costs in 2025 (i.e., -15%) and grow marginally in 2026, 2027 and 2028</w:t>
      </w:r>
      <w:r w:rsidR="00377BF9">
        <w:t>, which will be</w:t>
      </w:r>
      <w:r w:rsidR="002743DF" w:rsidRPr="002743DF">
        <w:t xml:space="preserve"> </w:t>
      </w:r>
      <w:r w:rsidR="002743DF" w:rsidRPr="00377BF9">
        <w:t xml:space="preserve">owed as pension and gratuity </w:t>
      </w:r>
      <w:r w:rsidR="00F93420" w:rsidRPr="00377BF9">
        <w:t>payments</w:t>
      </w:r>
      <w:r w:rsidR="002743DF" w:rsidRPr="00377BF9">
        <w:t xml:space="preserve">. Hence, the </w:t>
      </w:r>
      <w:r w:rsidR="00F93420" w:rsidRPr="00377BF9">
        <w:t>social benefits will increase by 12%, 5</w:t>
      </w:r>
      <w:r w:rsidR="008F473D">
        <w:t>% and 10% in 2027, 2028 and 2029</w:t>
      </w:r>
      <w:r w:rsidR="002743DF" w:rsidRPr="00377BF9">
        <w:t>.</w:t>
      </w:r>
    </w:p>
    <w:p w14:paraId="1419EE61" w14:textId="5A17BAB2" w:rsidR="0062606E" w:rsidRPr="0062606E" w:rsidRDefault="0062606E" w:rsidP="0062606E">
      <w:pPr>
        <w:pStyle w:val="NumberedParagraph"/>
        <w:rPr>
          <w:b/>
          <w:bCs/>
        </w:rPr>
      </w:pPr>
      <w:r w:rsidRPr="00377BF9">
        <w:rPr>
          <w:b/>
          <w:bCs/>
        </w:rPr>
        <w:t xml:space="preserve">Overheads – </w:t>
      </w:r>
      <w:r w:rsidR="00AA29B2" w:rsidRPr="00377BF9">
        <w:t>Overhead</w:t>
      </w:r>
      <w:r w:rsidR="00F93420" w:rsidRPr="00377BF9">
        <w:t xml:space="preserve"> actual perform</w:t>
      </w:r>
      <w:r w:rsidR="00F93420">
        <w:t>ance was</w:t>
      </w:r>
      <w:r w:rsidR="00AA29B2" w:rsidRPr="00AA29B2">
        <w:t xml:space="preserve"> relatively </w:t>
      </w:r>
      <w:r w:rsidR="00F93420">
        <w:t>un</w:t>
      </w:r>
      <w:r w:rsidR="00AA29B2" w:rsidRPr="00AA29B2">
        <w:t>stable between 201</w:t>
      </w:r>
      <w:r w:rsidR="00F93420">
        <w:t>9</w:t>
      </w:r>
      <w:r w:rsidR="00AA29B2" w:rsidRPr="00AA29B2">
        <w:t xml:space="preserve"> and 2021 before </w:t>
      </w:r>
      <w:r w:rsidR="009C2CC3">
        <w:t>stabilising</w:t>
      </w:r>
      <w:r w:rsidR="00AA29B2" w:rsidRPr="00AA29B2">
        <w:t xml:space="preserve"> in 2022</w:t>
      </w:r>
      <w:r w:rsidR="009C2CC3">
        <w:t xml:space="preserve"> and 2023</w:t>
      </w:r>
      <w:r w:rsidR="00AA29B2" w:rsidRPr="00AA29B2">
        <w:t xml:space="preserve">. </w:t>
      </w:r>
      <w:r w:rsidR="009C2CC3">
        <w:t xml:space="preserve">However, the actual performance ballooned in 2024 due to the high level of inflation recorded in the country in 2024, which increased overhead expenditures. </w:t>
      </w:r>
      <w:r w:rsidR="00AA29B2" w:rsidRPr="00AA29B2">
        <w:t>It is anticipated that</w:t>
      </w:r>
      <w:r w:rsidR="009C2CC3">
        <w:t xml:space="preserve"> overhead costs will remain stable going forward, as the inflation rate is more stable.</w:t>
      </w:r>
      <w:r w:rsidR="00AA29B2" w:rsidRPr="00AA29B2">
        <w:t xml:space="preserve"> Consequently, </w:t>
      </w:r>
      <w:r w:rsidR="009C2CC3">
        <w:t xml:space="preserve">the </w:t>
      </w:r>
      <w:r w:rsidR="00AA29B2" w:rsidRPr="00AA29B2">
        <w:t>own percentage method is used to forecast overhead for 202</w:t>
      </w:r>
      <w:r w:rsidR="008F473D">
        <w:t>7</w:t>
      </w:r>
      <w:r w:rsidR="00AA29B2" w:rsidRPr="00AA29B2">
        <w:t>, 202</w:t>
      </w:r>
      <w:r w:rsidR="008F473D">
        <w:t>8</w:t>
      </w:r>
      <w:r w:rsidR="009C2CC3">
        <w:t xml:space="preserve"> </w:t>
      </w:r>
      <w:r w:rsidR="00AA29B2" w:rsidRPr="00AA29B2">
        <w:t xml:space="preserve">and </w:t>
      </w:r>
      <w:r w:rsidR="00AA29B2" w:rsidRPr="00152C9E">
        <w:t>202</w:t>
      </w:r>
      <w:r w:rsidR="008F473D">
        <w:t>9</w:t>
      </w:r>
      <w:r w:rsidR="00AA29B2" w:rsidRPr="00AA29B2">
        <w:t xml:space="preserve"> (5%</w:t>
      </w:r>
      <w:r w:rsidR="009C2CC3">
        <w:t xml:space="preserve"> applied for each year</w:t>
      </w:r>
      <w:r w:rsidR="00AA29B2" w:rsidRPr="00AA29B2">
        <w:t>).</w:t>
      </w:r>
      <w:r w:rsidR="00AA29B2" w:rsidRPr="00AA29B2">
        <w:rPr>
          <w:b/>
          <w:bCs/>
        </w:rPr>
        <w:t xml:space="preserve">   </w:t>
      </w:r>
    </w:p>
    <w:p w14:paraId="0D55C5E0" w14:textId="3763C8D7" w:rsidR="00602AAC" w:rsidRPr="0064161C" w:rsidRDefault="00602AAC" w:rsidP="0062606E">
      <w:pPr>
        <w:pStyle w:val="NumberedParagraph"/>
        <w:rPr>
          <w:b/>
          <w:bCs/>
        </w:rPr>
      </w:pPr>
      <w:r>
        <w:rPr>
          <w:b/>
          <w:bCs/>
        </w:rPr>
        <w:t xml:space="preserve">Grants, Contributions, Subsidies and Transfers </w:t>
      </w:r>
      <w:r w:rsidR="009C2CC3">
        <w:rPr>
          <w:b/>
          <w:bCs/>
        </w:rPr>
        <w:t>–</w:t>
      </w:r>
      <w:r>
        <w:rPr>
          <w:b/>
          <w:bCs/>
        </w:rPr>
        <w:t xml:space="preserve"> </w:t>
      </w:r>
      <w:r w:rsidR="009C2CC3">
        <w:t xml:space="preserve">Grants. Contributions, subsidies and transfers forecast for 2026, 2027, </w:t>
      </w:r>
      <w:r w:rsidR="0044582A">
        <w:t xml:space="preserve">and </w:t>
      </w:r>
      <w:r w:rsidR="009C2CC3">
        <w:t xml:space="preserve">2028 were based on the current performance </w:t>
      </w:r>
      <w:r w:rsidR="00A86D70">
        <w:t>of this main expenditure class for 2025. It is anticipated that the performance for 2025 will increase by 60% over the 2024 actual. The own percentage growth of 20%, 10% and 10% for 2026, 2027 and 2028</w:t>
      </w:r>
      <w:r w:rsidR="0044582A">
        <w:t xml:space="preserve"> were used, factoring in </w:t>
      </w:r>
      <w:r w:rsidR="0044582A" w:rsidRPr="0064161C">
        <w:t>promotion of staff and salary notch increases</w:t>
      </w:r>
      <w:r w:rsidR="00A86D70" w:rsidRPr="0064161C">
        <w:t>.</w:t>
      </w:r>
    </w:p>
    <w:p w14:paraId="5EB774B1" w14:textId="243BC3EC" w:rsidR="00602AAC" w:rsidRPr="00205043" w:rsidRDefault="00602AAC" w:rsidP="0062606E">
      <w:pPr>
        <w:pStyle w:val="NumberedParagraph"/>
      </w:pPr>
      <w:r>
        <w:rPr>
          <w:b/>
          <w:bCs/>
        </w:rPr>
        <w:t>Public Debt Service -</w:t>
      </w:r>
      <w:r w:rsidRPr="00205043">
        <w:t xml:space="preserve"> </w:t>
      </w:r>
      <w:r w:rsidR="00205043" w:rsidRPr="00205043">
        <w:t xml:space="preserve">is based on the projected principal and interest repayments </w:t>
      </w:r>
      <w:r w:rsidR="00A86D70">
        <w:t xml:space="preserve">in the Benue State Debt Sustainability Analysis document </w:t>
      </w:r>
      <w:r w:rsidR="00205043" w:rsidRPr="00205043">
        <w:t>for 202</w:t>
      </w:r>
      <w:r w:rsidR="00A86D70">
        <w:t>6</w:t>
      </w:r>
      <w:r w:rsidR="00205043" w:rsidRPr="00205043">
        <w:t>, 202</w:t>
      </w:r>
      <w:r w:rsidR="00A86D70">
        <w:t>7</w:t>
      </w:r>
      <w:r w:rsidR="00205043" w:rsidRPr="00205043">
        <w:t xml:space="preserve"> and 202</w:t>
      </w:r>
      <w:r w:rsidR="00A86D70">
        <w:t>8</w:t>
      </w:r>
      <w:r w:rsidR="00205043" w:rsidRPr="00205043">
        <w:t>.</w:t>
      </w:r>
    </w:p>
    <w:p w14:paraId="18186450" w14:textId="53AAD328" w:rsidR="0062606E" w:rsidRPr="0062606E" w:rsidRDefault="0062606E" w:rsidP="0062606E">
      <w:pPr>
        <w:pStyle w:val="NumberedParagraph"/>
        <w:rPr>
          <w:b/>
          <w:bCs/>
        </w:rPr>
      </w:pPr>
      <w:r w:rsidRPr="0062606E">
        <w:rPr>
          <w:b/>
          <w:bCs/>
        </w:rPr>
        <w:t xml:space="preserve">Contingency and Planning Reserves – </w:t>
      </w:r>
      <w:r w:rsidR="004019F8" w:rsidRPr="004019F8">
        <w:t>Th</w:t>
      </w:r>
      <w:r w:rsidR="00A86D70">
        <w:t>e contingency reserve is estimated at 2% of the total capital expenditure for the plan period. The contingency reserve will not be allocated for any specific expenditure line, as the fund will be for any unforeseen event that may arise during the fiscal year. The planning reserve is estimated at 1% of recurrent revenue. The planning reserve will be allocated to specific recurrent and capital expenditure items during the bilateral discussion stage before the budget is presented to the State House of Assembly</w:t>
      </w:r>
      <w:r w:rsidR="004019F8" w:rsidRPr="004019F8">
        <w:t>.</w:t>
      </w:r>
    </w:p>
    <w:p w14:paraId="7BB43D1B" w14:textId="34B56995" w:rsidR="0062606E" w:rsidRDefault="0062606E" w:rsidP="0062606E">
      <w:pPr>
        <w:pStyle w:val="NumberedParagraph"/>
        <w:rPr>
          <w:b/>
          <w:bCs/>
        </w:rPr>
      </w:pPr>
      <w:r w:rsidRPr="0062606E">
        <w:rPr>
          <w:b/>
          <w:bCs/>
        </w:rPr>
        <w:t xml:space="preserve">Capital Expenditure </w:t>
      </w:r>
      <w:r>
        <w:rPr>
          <w:b/>
          <w:bCs/>
        </w:rPr>
        <w:t>–</w:t>
      </w:r>
      <w:r w:rsidR="00A5130A">
        <w:rPr>
          <w:b/>
          <w:bCs/>
        </w:rPr>
        <w:t xml:space="preserve"> </w:t>
      </w:r>
      <w:r w:rsidR="00A5130A" w:rsidRPr="00A5130A">
        <w:t>is based on the balance from the recurrent account plus capital receipts, less reserve</w:t>
      </w:r>
      <w:r w:rsidR="00A86D70">
        <w:t>s (contingency and planning)</w:t>
      </w:r>
      <w:r w:rsidR="00A5130A" w:rsidRPr="00A5130A">
        <w:t xml:space="preserve"> as outlined above.</w:t>
      </w:r>
      <w:r w:rsidR="00A5130A" w:rsidRPr="00A5130A">
        <w:rPr>
          <w:b/>
          <w:bCs/>
        </w:rPr>
        <w:t xml:space="preserve">  </w:t>
      </w:r>
    </w:p>
    <w:p w14:paraId="14747B7E" w14:textId="599D8F07" w:rsidR="0062606E" w:rsidRDefault="0062606E" w:rsidP="0062606E">
      <w:pPr>
        <w:pStyle w:val="Heading3"/>
        <w:ind w:left="709" w:hanging="709"/>
      </w:pPr>
      <w:bookmarkStart w:id="50" w:name="_Toc208941451"/>
      <w:r w:rsidRPr="0062606E">
        <w:lastRenderedPageBreak/>
        <w:t>Fiscal Trends</w:t>
      </w:r>
      <w:bookmarkEnd w:id="50"/>
    </w:p>
    <w:p w14:paraId="52AC7C98" w14:textId="33001D0C" w:rsidR="0062606E" w:rsidRPr="0062606E" w:rsidRDefault="0062606E" w:rsidP="00A267A0">
      <w:pPr>
        <w:pStyle w:val="NumberedParagraph"/>
      </w:pPr>
      <w:r w:rsidRPr="0062606E">
        <w:t>Based on the above envelope, plus actual figures for 20</w:t>
      </w:r>
      <w:r w:rsidR="00645409">
        <w:t>19</w:t>
      </w:r>
      <w:r w:rsidRPr="0062606E">
        <w:t>-20</w:t>
      </w:r>
      <w:r w:rsidR="00B672E3">
        <w:t>26</w:t>
      </w:r>
      <w:r w:rsidRPr="0062606E">
        <w:t xml:space="preserve"> (using the same basis for forecasting as noted in the sub-sections within section 3.B), the trend from historical actual to forecast can be seen for revenue and then expenditure in the line graphs below.</w:t>
      </w:r>
    </w:p>
    <w:p w14:paraId="1520387B" w14:textId="77777777" w:rsidR="00602AAC" w:rsidRDefault="00602AAC" w:rsidP="0062606E">
      <w:pPr>
        <w:pStyle w:val="Caption"/>
        <w:sectPr w:rsidR="00602AAC" w:rsidSect="004C6ABA">
          <w:pgSz w:w="11906" w:h="16838" w:code="9"/>
          <w:pgMar w:top="1304" w:right="1134" w:bottom="1134" w:left="1134" w:header="397" w:footer="397" w:gutter="0"/>
          <w:cols w:space="708"/>
          <w:docGrid w:linePitch="360"/>
        </w:sectPr>
      </w:pPr>
    </w:p>
    <w:p w14:paraId="4517DB6E" w14:textId="6E8BA116" w:rsidR="0062606E" w:rsidRDefault="0062606E" w:rsidP="0062606E">
      <w:pPr>
        <w:pStyle w:val="Caption"/>
      </w:pPr>
      <w:bookmarkStart w:id="51" w:name="_Toc208941476"/>
      <w:r>
        <w:lastRenderedPageBreak/>
        <w:t xml:space="preserve">Figure </w:t>
      </w:r>
      <w:fldSimple w:instr=" SEQ Figure \* ARABIC ">
        <w:r w:rsidR="00F60625">
          <w:rPr>
            <w:noProof/>
          </w:rPr>
          <w:t>18</w:t>
        </w:r>
      </w:fldSimple>
      <w:r>
        <w:t xml:space="preserve">: </w:t>
      </w:r>
      <w:r w:rsidR="00A5130A">
        <w:t xml:space="preserve">Benue </w:t>
      </w:r>
      <w:r>
        <w:t>State Revenue Trend</w:t>
      </w:r>
      <w:bookmarkEnd w:id="51"/>
    </w:p>
    <w:p w14:paraId="58787C6B" w14:textId="55F5650F" w:rsidR="0062606E" w:rsidRPr="0062606E" w:rsidRDefault="00930807" w:rsidP="00A267A0">
      <w:pPr>
        <w:spacing w:before="0" w:after="200" w:line="276" w:lineRule="auto"/>
        <w:jc w:val="left"/>
      </w:pPr>
      <w:r>
        <w:rPr>
          <w:noProof/>
          <w:lang w:val="en-US" w:eastAsia="en-US"/>
        </w:rPr>
        <w:drawing>
          <wp:inline distT="0" distB="0" distL="0" distR="0" wp14:anchorId="4232D740" wp14:editId="70C4DBDA">
            <wp:extent cx="9144000" cy="4266565"/>
            <wp:effectExtent l="0" t="0" r="0" b="635"/>
            <wp:docPr id="20983214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21427" name=""/>
                    <pic:cNvPicPr/>
                  </pic:nvPicPr>
                  <pic:blipFill>
                    <a:blip r:embed="rId61">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2"/>
                        </a:ext>
                      </a:extLst>
                    </a:blip>
                    <a:stretch>
                      <a:fillRect/>
                    </a:stretch>
                  </pic:blipFill>
                  <pic:spPr>
                    <a:xfrm>
                      <a:off x="0" y="0"/>
                      <a:ext cx="9144000" cy="4266565"/>
                    </a:xfrm>
                    <a:prstGeom prst="rect">
                      <a:avLst/>
                    </a:prstGeom>
                  </pic:spPr>
                </pic:pic>
              </a:graphicData>
            </a:graphic>
          </wp:inline>
        </w:drawing>
      </w:r>
      <w:r w:rsidR="008751B3">
        <w:br w:type="page"/>
      </w:r>
    </w:p>
    <w:p w14:paraId="48EC4069" w14:textId="26ABDAC9" w:rsidR="008751B3" w:rsidRDefault="008751B3" w:rsidP="008751B3">
      <w:pPr>
        <w:pStyle w:val="Caption"/>
      </w:pPr>
      <w:bookmarkStart w:id="52" w:name="_Toc208941477"/>
      <w:r>
        <w:lastRenderedPageBreak/>
        <w:t xml:space="preserve">Figure </w:t>
      </w:r>
      <w:fldSimple w:instr=" SEQ Figure \* ARABIC ">
        <w:r w:rsidR="00F60625">
          <w:rPr>
            <w:noProof/>
          </w:rPr>
          <w:t>19</w:t>
        </w:r>
      </w:fldSimple>
      <w:r>
        <w:t xml:space="preserve">: </w:t>
      </w:r>
      <w:r w:rsidR="00B22F8D">
        <w:t xml:space="preserve">Benue </w:t>
      </w:r>
      <w:r>
        <w:t>State Expenditure Trend</w:t>
      </w:r>
      <w:bookmarkEnd w:id="52"/>
    </w:p>
    <w:p w14:paraId="6191DA5C" w14:textId="28D868C2" w:rsidR="002A7DD7" w:rsidRPr="002A7DD7" w:rsidRDefault="00D1350B" w:rsidP="002A7DD7">
      <w:r>
        <w:rPr>
          <w:noProof/>
          <w:lang w:val="en-US" w:eastAsia="en-US"/>
        </w:rPr>
        <w:drawing>
          <wp:inline distT="0" distB="0" distL="0" distR="0" wp14:anchorId="1137923A" wp14:editId="734C4BD7">
            <wp:extent cx="9144000" cy="3881120"/>
            <wp:effectExtent l="0" t="0" r="0" b="5080"/>
            <wp:docPr id="13590802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80257" name=""/>
                    <pic:cNvPicPr/>
                  </pic:nvPicPr>
                  <pic:blipFill>
                    <a:blip r:embed="rId63">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4"/>
                        </a:ext>
                      </a:extLst>
                    </a:blip>
                    <a:stretch>
                      <a:fillRect/>
                    </a:stretch>
                  </pic:blipFill>
                  <pic:spPr>
                    <a:xfrm>
                      <a:off x="0" y="0"/>
                      <a:ext cx="9144000" cy="3881120"/>
                    </a:xfrm>
                    <a:prstGeom prst="rect">
                      <a:avLst/>
                    </a:prstGeom>
                  </pic:spPr>
                </pic:pic>
              </a:graphicData>
            </a:graphic>
          </wp:inline>
        </w:drawing>
      </w:r>
    </w:p>
    <w:p w14:paraId="28ECE850" w14:textId="10237BE3" w:rsidR="008751B3" w:rsidRDefault="008751B3">
      <w:pPr>
        <w:spacing w:before="0" w:after="200" w:line="276" w:lineRule="auto"/>
        <w:jc w:val="left"/>
      </w:pPr>
    </w:p>
    <w:p w14:paraId="5D84E2A8" w14:textId="68FE5BDB" w:rsidR="00602AAC" w:rsidRDefault="00602AAC" w:rsidP="008751B3">
      <w:pPr>
        <w:pStyle w:val="Heading2"/>
        <w:ind w:left="709" w:hanging="709"/>
        <w:sectPr w:rsidR="00602AAC" w:rsidSect="00602AAC">
          <w:pgSz w:w="16838" w:h="11906" w:orient="landscape" w:code="9"/>
          <w:pgMar w:top="1134" w:right="1304" w:bottom="1134" w:left="1134" w:header="397" w:footer="397" w:gutter="0"/>
          <w:cols w:space="708"/>
          <w:docGrid w:linePitch="360"/>
        </w:sectPr>
      </w:pPr>
    </w:p>
    <w:p w14:paraId="2042E1A4" w14:textId="725CAD08" w:rsidR="0038784E" w:rsidRDefault="0038784E" w:rsidP="0038784E">
      <w:pPr>
        <w:pStyle w:val="Heading2"/>
        <w:ind w:left="709" w:hanging="709"/>
      </w:pPr>
      <w:bookmarkStart w:id="53" w:name="_Toc208941452"/>
      <w:r>
        <w:lastRenderedPageBreak/>
        <w:t>Local Government FAAC and IGR Estimates</w:t>
      </w:r>
      <w:bookmarkEnd w:id="53"/>
    </w:p>
    <w:p w14:paraId="514EA244" w14:textId="3AA89AA8" w:rsidR="0038784E" w:rsidRPr="0038784E" w:rsidRDefault="0038784E" w:rsidP="0038784E">
      <w:pPr>
        <w:pStyle w:val="NumberedParagraph"/>
      </w:pPr>
      <w:r>
        <w:t xml:space="preserve">Based on the macroeconomic and mineral sector assumptions in </w:t>
      </w:r>
      <w:r w:rsidR="00645409">
        <w:t xml:space="preserve">the </w:t>
      </w:r>
      <w:r>
        <w:t xml:space="preserve">sections </w:t>
      </w:r>
      <w:r>
        <w:fldChar w:fldCharType="begin"/>
      </w:r>
      <w:r>
        <w:instrText xml:space="preserve"> REF _Ref169106534 \r \h </w:instrText>
      </w:r>
      <w:r>
        <w:fldChar w:fldCharType="separate"/>
      </w:r>
      <w:r w:rsidR="00F60625">
        <w:t>3.A</w:t>
      </w:r>
      <w:r>
        <w:fldChar w:fldCharType="end"/>
      </w:r>
      <w:r>
        <w:t>-</w:t>
      </w:r>
      <w:r>
        <w:fldChar w:fldCharType="begin"/>
      </w:r>
      <w:r>
        <w:instrText xml:space="preserve"> REF _Ref169106579 \r \h </w:instrText>
      </w:r>
      <w:r>
        <w:fldChar w:fldCharType="separate"/>
      </w:r>
      <w:r w:rsidR="00F60625">
        <w:t>3.C</w:t>
      </w:r>
      <w:r>
        <w:fldChar w:fldCharType="end"/>
      </w:r>
      <w:r>
        <w:t xml:space="preserve"> and above and the latest horizontal and vertical sharing ratios, </w:t>
      </w:r>
      <w:r>
        <w:fldChar w:fldCharType="begin"/>
      </w:r>
      <w:r>
        <w:instrText xml:space="preserve"> REF _Ref169106595 \h </w:instrText>
      </w:r>
      <w:r>
        <w:fldChar w:fldCharType="separate"/>
      </w:r>
      <w:r w:rsidR="00F60625">
        <w:t xml:space="preserve">Table </w:t>
      </w:r>
      <w:r w:rsidR="00F60625">
        <w:rPr>
          <w:noProof/>
        </w:rPr>
        <w:t>7</w:t>
      </w:r>
      <w:r>
        <w:fldChar w:fldCharType="end"/>
      </w:r>
      <w:r>
        <w:t xml:space="preserve"> below provides estimates of the FAAC revenues and share of State IGR for the</w:t>
      </w:r>
      <w:r w:rsidR="00433B57">
        <w:t xml:space="preserve"> 23</w:t>
      </w:r>
      <w:r>
        <w:t xml:space="preserve"> Local Governments of </w:t>
      </w:r>
      <w:r w:rsidR="00CB2A9E">
        <w:t xml:space="preserve">Benue </w:t>
      </w:r>
      <w:r>
        <w:t xml:space="preserve">State. </w:t>
      </w:r>
    </w:p>
    <w:p w14:paraId="313A3CC7" w14:textId="47F81BAE" w:rsidR="0038784E" w:rsidRDefault="0038784E" w:rsidP="0038784E">
      <w:pPr>
        <w:pStyle w:val="Caption"/>
      </w:pPr>
      <w:bookmarkStart w:id="54" w:name="_Ref169106595"/>
      <w:bookmarkStart w:id="55" w:name="_Toc208941484"/>
      <w:r>
        <w:t xml:space="preserve">Table </w:t>
      </w:r>
      <w:fldSimple w:instr=" SEQ Table \* ARABIC ">
        <w:r w:rsidR="00F60625">
          <w:rPr>
            <w:noProof/>
          </w:rPr>
          <w:t>7</w:t>
        </w:r>
      </w:fldSimple>
      <w:bookmarkEnd w:id="54"/>
      <w:r>
        <w:t xml:space="preserve">: LG FAAC and IGR Estimates </w:t>
      </w:r>
      <w:r w:rsidRPr="00D04CF0">
        <w:t>20</w:t>
      </w:r>
      <w:r w:rsidR="00CB2A9E">
        <w:t xml:space="preserve">26 – </w:t>
      </w:r>
      <w:r w:rsidRPr="00D04CF0">
        <w:t>20</w:t>
      </w:r>
      <w:r w:rsidR="00CB2A9E">
        <w:t>28</w:t>
      </w:r>
      <w:bookmarkEnd w:id="55"/>
    </w:p>
    <w:p w14:paraId="4792FC2E" w14:textId="6FBF0514" w:rsidR="00CB2A9E" w:rsidRDefault="00BA1AD4" w:rsidP="00CB2A9E">
      <w:r w:rsidRPr="00BA1AD4">
        <w:rPr>
          <w:noProof/>
          <w:lang w:val="en-US" w:eastAsia="en-US"/>
        </w:rPr>
        <w:drawing>
          <wp:inline distT="0" distB="0" distL="0" distR="0" wp14:anchorId="0E32CC20" wp14:editId="1C84C2E5">
            <wp:extent cx="6120130" cy="3552825"/>
            <wp:effectExtent l="0" t="0" r="1270" b="3175"/>
            <wp:docPr id="2029775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75899" name=""/>
                    <pic:cNvPicPr/>
                  </pic:nvPicPr>
                  <pic:blipFill>
                    <a:blip r:embed="rId65"/>
                    <a:stretch>
                      <a:fillRect/>
                    </a:stretch>
                  </pic:blipFill>
                  <pic:spPr>
                    <a:xfrm>
                      <a:off x="0" y="0"/>
                      <a:ext cx="6120130" cy="3552825"/>
                    </a:xfrm>
                    <a:prstGeom prst="rect">
                      <a:avLst/>
                    </a:prstGeom>
                  </pic:spPr>
                </pic:pic>
              </a:graphicData>
            </a:graphic>
          </wp:inline>
        </w:drawing>
      </w:r>
    </w:p>
    <w:p w14:paraId="1092CEDD" w14:textId="77777777" w:rsidR="0047739B" w:rsidRDefault="0047739B" w:rsidP="00CB2A9E"/>
    <w:p w14:paraId="1FF7E1DE" w14:textId="4E8663E3" w:rsidR="00BA1AD4" w:rsidRDefault="00F646C7" w:rsidP="00CB2A9E">
      <w:r w:rsidRPr="00F646C7">
        <w:rPr>
          <w:noProof/>
          <w:lang w:val="en-US" w:eastAsia="en-US"/>
        </w:rPr>
        <w:drawing>
          <wp:inline distT="0" distB="0" distL="0" distR="0" wp14:anchorId="14B2CEB7" wp14:editId="416DB673">
            <wp:extent cx="6120130" cy="3703320"/>
            <wp:effectExtent l="0" t="0" r="1270" b="5080"/>
            <wp:docPr id="458748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48523" name=""/>
                    <pic:cNvPicPr/>
                  </pic:nvPicPr>
                  <pic:blipFill>
                    <a:blip r:embed="rId66"/>
                    <a:stretch>
                      <a:fillRect/>
                    </a:stretch>
                  </pic:blipFill>
                  <pic:spPr>
                    <a:xfrm>
                      <a:off x="0" y="0"/>
                      <a:ext cx="6120130" cy="3703320"/>
                    </a:xfrm>
                    <a:prstGeom prst="rect">
                      <a:avLst/>
                    </a:prstGeom>
                  </pic:spPr>
                </pic:pic>
              </a:graphicData>
            </a:graphic>
          </wp:inline>
        </w:drawing>
      </w:r>
    </w:p>
    <w:p w14:paraId="54BDA4CA" w14:textId="78FE7A13" w:rsidR="0047739B" w:rsidRPr="00CB2A9E" w:rsidRDefault="001C4E51" w:rsidP="00CB2A9E">
      <w:r w:rsidRPr="001C4E51">
        <w:rPr>
          <w:noProof/>
          <w:lang w:val="en-US" w:eastAsia="en-US"/>
        </w:rPr>
        <w:lastRenderedPageBreak/>
        <w:drawing>
          <wp:inline distT="0" distB="0" distL="0" distR="0" wp14:anchorId="559E324C" wp14:editId="1CC59F64">
            <wp:extent cx="6120130" cy="3529965"/>
            <wp:effectExtent l="0" t="0" r="1270" b="635"/>
            <wp:docPr id="1610544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44353" name=""/>
                    <pic:cNvPicPr/>
                  </pic:nvPicPr>
                  <pic:blipFill>
                    <a:blip r:embed="rId67"/>
                    <a:stretch>
                      <a:fillRect/>
                    </a:stretch>
                  </pic:blipFill>
                  <pic:spPr>
                    <a:xfrm>
                      <a:off x="0" y="0"/>
                      <a:ext cx="6120130" cy="3529965"/>
                    </a:xfrm>
                    <a:prstGeom prst="rect">
                      <a:avLst/>
                    </a:prstGeom>
                  </pic:spPr>
                </pic:pic>
              </a:graphicData>
            </a:graphic>
          </wp:inline>
        </w:drawing>
      </w:r>
    </w:p>
    <w:p w14:paraId="3F864C2A" w14:textId="06169962" w:rsidR="008751B3" w:rsidRDefault="008751B3" w:rsidP="008751B3">
      <w:pPr>
        <w:pStyle w:val="Heading2"/>
        <w:ind w:left="709" w:hanging="709"/>
      </w:pPr>
      <w:bookmarkStart w:id="56" w:name="_Toc208941453"/>
      <w:r w:rsidRPr="008751B3">
        <w:t>Fiscal Risks</w:t>
      </w:r>
      <w:bookmarkEnd w:id="56"/>
    </w:p>
    <w:p w14:paraId="21A21E45" w14:textId="7BA01B55" w:rsidR="008751B3" w:rsidRDefault="008751B3" w:rsidP="008751B3">
      <w:pPr>
        <w:pStyle w:val="NumberedParagraph"/>
      </w:pPr>
      <w:r w:rsidRPr="008751B3">
        <w:t>The analysis and forecasting basis as laid out above implies some fiscal risks, including but not limited to</w:t>
      </w:r>
      <w:r w:rsidR="00F52C94">
        <w:t>:</w:t>
      </w:r>
    </w:p>
    <w:p w14:paraId="48DA8A16" w14:textId="2C493119" w:rsidR="008751B3" w:rsidRDefault="008751B3" w:rsidP="008751B3">
      <w:pPr>
        <w:pStyle w:val="Caption"/>
      </w:pPr>
      <w:bookmarkStart w:id="57" w:name="_Toc208941485"/>
      <w:r>
        <w:t xml:space="preserve">Table </w:t>
      </w:r>
      <w:fldSimple w:instr=" SEQ Table \* ARABIC ">
        <w:r w:rsidR="00F60625">
          <w:rPr>
            <w:noProof/>
          </w:rPr>
          <w:t>8</w:t>
        </w:r>
      </w:fldSimple>
      <w:r>
        <w:t>: Fiscal Risks</w:t>
      </w:r>
      <w:bookmarkEnd w:id="57"/>
    </w:p>
    <w:tbl>
      <w:tblPr>
        <w:tblW w:w="4950" w:type="pct"/>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1E0" w:firstRow="1" w:lastRow="1" w:firstColumn="1" w:lastColumn="1" w:noHBand="0" w:noVBand="0"/>
      </w:tblPr>
      <w:tblGrid>
        <w:gridCol w:w="3143"/>
        <w:gridCol w:w="1842"/>
        <w:gridCol w:w="1701"/>
        <w:gridCol w:w="2836"/>
      </w:tblGrid>
      <w:tr w:rsidR="008751B3" w:rsidRPr="00B848D1" w14:paraId="53FE4AB6" w14:textId="77777777" w:rsidTr="008751B3">
        <w:trPr>
          <w:cantSplit/>
          <w:tblHeader/>
        </w:trPr>
        <w:tc>
          <w:tcPr>
            <w:tcW w:w="1650" w:type="pct"/>
            <w:shd w:val="clear" w:color="auto" w:fill="404040" w:themeFill="text1" w:themeFillTint="BF"/>
            <w:vAlign w:val="center"/>
          </w:tcPr>
          <w:p w14:paraId="0F3441E3" w14:textId="5603DB48" w:rsidR="008751B3" w:rsidRPr="008751B3" w:rsidRDefault="008751B3" w:rsidP="008751B3">
            <w:pPr>
              <w:pStyle w:val="Tabletitle"/>
            </w:pPr>
            <w:r>
              <w:t>Risk</w:t>
            </w:r>
          </w:p>
        </w:tc>
        <w:tc>
          <w:tcPr>
            <w:tcW w:w="967" w:type="pct"/>
            <w:shd w:val="clear" w:color="auto" w:fill="404040" w:themeFill="text1" w:themeFillTint="BF"/>
            <w:vAlign w:val="center"/>
          </w:tcPr>
          <w:p w14:paraId="62D06C2B" w14:textId="4476B8C9" w:rsidR="008751B3" w:rsidRPr="008751B3" w:rsidRDefault="008751B3" w:rsidP="008751B3">
            <w:pPr>
              <w:pStyle w:val="Table"/>
              <w:jc w:val="center"/>
              <w:rPr>
                <w:b/>
                <w:color w:val="FFFFFF" w:themeColor="background1"/>
              </w:rPr>
            </w:pPr>
            <w:r>
              <w:rPr>
                <w:b/>
                <w:color w:val="FFFFFF" w:themeColor="background1"/>
              </w:rPr>
              <w:t>Likelihood</w:t>
            </w:r>
          </w:p>
        </w:tc>
        <w:tc>
          <w:tcPr>
            <w:tcW w:w="893" w:type="pct"/>
            <w:shd w:val="clear" w:color="auto" w:fill="404040" w:themeFill="text1" w:themeFillTint="BF"/>
            <w:vAlign w:val="center"/>
          </w:tcPr>
          <w:p w14:paraId="70D28B21" w14:textId="165C1B0B" w:rsidR="008751B3" w:rsidRPr="008751B3" w:rsidRDefault="008751B3" w:rsidP="008751B3">
            <w:pPr>
              <w:pStyle w:val="Table"/>
              <w:jc w:val="center"/>
              <w:rPr>
                <w:b/>
                <w:color w:val="FFFFFF" w:themeColor="background1"/>
              </w:rPr>
            </w:pPr>
            <w:r>
              <w:rPr>
                <w:b/>
                <w:color w:val="FFFFFF" w:themeColor="background1"/>
              </w:rPr>
              <w:t>Impact</w:t>
            </w:r>
          </w:p>
        </w:tc>
        <w:tc>
          <w:tcPr>
            <w:tcW w:w="1489" w:type="pct"/>
            <w:shd w:val="clear" w:color="auto" w:fill="404040" w:themeFill="text1" w:themeFillTint="BF"/>
            <w:vAlign w:val="center"/>
          </w:tcPr>
          <w:p w14:paraId="58306533" w14:textId="40A58DB7" w:rsidR="008751B3" w:rsidRPr="008751B3" w:rsidRDefault="008751B3" w:rsidP="008751B3">
            <w:pPr>
              <w:pStyle w:val="Table"/>
              <w:jc w:val="center"/>
              <w:rPr>
                <w:b/>
                <w:color w:val="FFFFFF" w:themeColor="background1"/>
              </w:rPr>
            </w:pPr>
            <w:r>
              <w:rPr>
                <w:b/>
                <w:color w:val="FFFFFF" w:themeColor="background1"/>
              </w:rPr>
              <w:t>Reaction</w:t>
            </w:r>
          </w:p>
        </w:tc>
      </w:tr>
      <w:tr w:rsidR="00AC4C73" w:rsidRPr="00D91798" w14:paraId="63CF666D" w14:textId="77777777" w:rsidTr="009A5BBD">
        <w:trPr>
          <w:cantSplit/>
        </w:trPr>
        <w:tc>
          <w:tcPr>
            <w:tcW w:w="1650" w:type="pct"/>
            <w:vAlign w:val="center"/>
          </w:tcPr>
          <w:p w14:paraId="3C59C1B5" w14:textId="43F98232" w:rsidR="00AC4C73" w:rsidRPr="00D91798" w:rsidRDefault="00AC4C73" w:rsidP="00AC4C73">
            <w:pPr>
              <w:pStyle w:val="Table"/>
            </w:pPr>
            <w:r w:rsidRPr="0094316D">
              <w:t>Disruptions in agricultural production due to</w:t>
            </w:r>
            <w:r w:rsidR="0064161C">
              <w:t xml:space="preserve"> invasion of natives by herders</w:t>
            </w:r>
            <w:r w:rsidRPr="0094316D">
              <w:t>, climate variability, or supply chain issues may lead to reduced output and revenue.</w:t>
            </w:r>
          </w:p>
        </w:tc>
        <w:tc>
          <w:tcPr>
            <w:tcW w:w="967" w:type="pct"/>
            <w:vAlign w:val="center"/>
          </w:tcPr>
          <w:p w14:paraId="5A691039" w14:textId="6B95CDEE" w:rsidR="00AC4C73" w:rsidRPr="00D91798" w:rsidRDefault="00AC4C73" w:rsidP="00AC4C73">
            <w:pPr>
              <w:pStyle w:val="Table"/>
            </w:pPr>
            <w:r w:rsidRPr="0094316D">
              <w:t>Medium</w:t>
            </w:r>
          </w:p>
        </w:tc>
        <w:tc>
          <w:tcPr>
            <w:tcW w:w="893" w:type="pct"/>
            <w:vAlign w:val="center"/>
          </w:tcPr>
          <w:p w14:paraId="0BA041E3" w14:textId="6D0A2203" w:rsidR="00AC4C73" w:rsidRPr="00D91798" w:rsidRDefault="00AC4C73" w:rsidP="00AC4C73">
            <w:pPr>
              <w:pStyle w:val="Table"/>
            </w:pPr>
            <w:r w:rsidRPr="0094316D">
              <w:t>High</w:t>
            </w:r>
          </w:p>
        </w:tc>
        <w:tc>
          <w:tcPr>
            <w:tcW w:w="1489" w:type="pct"/>
            <w:vAlign w:val="center"/>
          </w:tcPr>
          <w:p w14:paraId="1E0C5983" w14:textId="79D2122C" w:rsidR="00AC4C73" w:rsidRPr="00D91798" w:rsidRDefault="00AC4C73" w:rsidP="00AC4C73">
            <w:pPr>
              <w:pStyle w:val="Table"/>
            </w:pPr>
            <w:r w:rsidRPr="0094316D">
              <w:t xml:space="preserve">Dependence on Statutory Allocation is crucial to the budget; however, clear </w:t>
            </w:r>
            <w:r w:rsidR="00645409">
              <w:t>prioritisation</w:t>
            </w:r>
            <w:r w:rsidRPr="0094316D">
              <w:t xml:space="preserve"> of projects in the capital budget is required. Increased IGR efforts to decrease reliance on federal transfers and </w:t>
            </w:r>
            <w:r w:rsidR="00645409">
              <w:t>seek</w:t>
            </w:r>
            <w:r w:rsidRPr="0094316D">
              <w:t xml:space="preserve"> alternative funding sources (grants, PPPs, etc.).</w:t>
            </w:r>
          </w:p>
        </w:tc>
      </w:tr>
      <w:tr w:rsidR="00AC4C73" w:rsidRPr="00D91798" w14:paraId="4CD05C1E" w14:textId="77777777" w:rsidTr="009A5BBD">
        <w:trPr>
          <w:cantSplit/>
        </w:trPr>
        <w:tc>
          <w:tcPr>
            <w:tcW w:w="1650" w:type="pct"/>
            <w:vAlign w:val="center"/>
          </w:tcPr>
          <w:p w14:paraId="7C55C18F" w14:textId="0A5067D2" w:rsidR="00AC4C73" w:rsidRPr="00D91798" w:rsidRDefault="00AC4C73" w:rsidP="00AC4C73">
            <w:pPr>
              <w:pStyle w:val="Table"/>
            </w:pPr>
            <w:r w:rsidRPr="0094316D">
              <w:t xml:space="preserve">Security situation countrywide and within Benue State (e.g., </w:t>
            </w:r>
            <w:r w:rsidR="0064161C">
              <w:t>herder’s invasion</w:t>
            </w:r>
            <w:r w:rsidRPr="0094316D">
              <w:t>, banditry) could affect economic activity and agricultural output, resulting in risks to VAT and Statutory Allocation.</w:t>
            </w:r>
          </w:p>
        </w:tc>
        <w:tc>
          <w:tcPr>
            <w:tcW w:w="967" w:type="pct"/>
            <w:vAlign w:val="center"/>
          </w:tcPr>
          <w:p w14:paraId="00EF7B59" w14:textId="66152338" w:rsidR="00AC4C73" w:rsidRPr="00D91798" w:rsidRDefault="00AC4C73" w:rsidP="00AC4C73">
            <w:pPr>
              <w:pStyle w:val="Table"/>
            </w:pPr>
            <w:r w:rsidRPr="0094316D">
              <w:t>Medium</w:t>
            </w:r>
          </w:p>
        </w:tc>
        <w:tc>
          <w:tcPr>
            <w:tcW w:w="893" w:type="pct"/>
            <w:vAlign w:val="center"/>
          </w:tcPr>
          <w:p w14:paraId="7E5BA420" w14:textId="53F50A76" w:rsidR="00AC4C73" w:rsidRPr="00D91798" w:rsidRDefault="00AC4C73" w:rsidP="00AC4C73">
            <w:pPr>
              <w:pStyle w:val="Table"/>
            </w:pPr>
            <w:r w:rsidRPr="0094316D">
              <w:t>High</w:t>
            </w:r>
          </w:p>
        </w:tc>
        <w:tc>
          <w:tcPr>
            <w:tcW w:w="1489" w:type="pct"/>
            <w:vAlign w:val="center"/>
          </w:tcPr>
          <w:p w14:paraId="1CB45292" w14:textId="095F967D" w:rsidR="00AC4C73" w:rsidRPr="00D91798" w:rsidRDefault="00AC4C73" w:rsidP="00AC4C73">
            <w:pPr>
              <w:pStyle w:val="Table"/>
            </w:pPr>
            <w:r w:rsidRPr="0094316D">
              <w:t xml:space="preserve">The estimates for VAT and Statutory Allocation are not overly ambitious. Clear </w:t>
            </w:r>
            <w:r w:rsidR="00645409">
              <w:t>prioritisation</w:t>
            </w:r>
            <w:r w:rsidRPr="0094316D">
              <w:t xml:space="preserve"> of projects in the capital budget is required. Increased IGR efforts to reduce reliance on federal transfers and </w:t>
            </w:r>
            <w:r w:rsidR="00645409">
              <w:t>explore</w:t>
            </w:r>
            <w:r w:rsidRPr="0094316D">
              <w:t xml:space="preserve"> alternative funding sources (grants, PPPs, etc.).</w:t>
            </w:r>
          </w:p>
        </w:tc>
      </w:tr>
      <w:tr w:rsidR="00AC4C73" w:rsidRPr="00D91798" w14:paraId="105258E3" w14:textId="77777777" w:rsidTr="009A5BBD">
        <w:trPr>
          <w:cantSplit/>
        </w:trPr>
        <w:tc>
          <w:tcPr>
            <w:tcW w:w="1650" w:type="pct"/>
            <w:vAlign w:val="center"/>
          </w:tcPr>
          <w:p w14:paraId="0EA3BFF7" w14:textId="495B3AB9" w:rsidR="00AC4C73" w:rsidRPr="00D91798" w:rsidRDefault="00AC4C73" w:rsidP="00AC4C73">
            <w:pPr>
              <w:pStyle w:val="Table"/>
            </w:pPr>
            <w:r w:rsidRPr="0094316D">
              <w:lastRenderedPageBreak/>
              <w:t>Risks associated with debt financing.</w:t>
            </w:r>
          </w:p>
        </w:tc>
        <w:tc>
          <w:tcPr>
            <w:tcW w:w="967" w:type="pct"/>
            <w:vAlign w:val="center"/>
          </w:tcPr>
          <w:p w14:paraId="3B0820F3" w14:textId="4BE8B72E" w:rsidR="00AC4C73" w:rsidRPr="00D91798" w:rsidRDefault="00AC4C73" w:rsidP="00AC4C73">
            <w:pPr>
              <w:pStyle w:val="Table"/>
            </w:pPr>
            <w:r w:rsidRPr="0094316D">
              <w:t>Low</w:t>
            </w:r>
          </w:p>
        </w:tc>
        <w:tc>
          <w:tcPr>
            <w:tcW w:w="893" w:type="pct"/>
            <w:vAlign w:val="center"/>
          </w:tcPr>
          <w:p w14:paraId="41E4E949" w14:textId="39C82FBC" w:rsidR="00AC4C73" w:rsidRPr="00D91798" w:rsidRDefault="00AC4C73" w:rsidP="00AC4C73">
            <w:pPr>
              <w:pStyle w:val="Table"/>
            </w:pPr>
            <w:r w:rsidRPr="0094316D">
              <w:t>Medium</w:t>
            </w:r>
          </w:p>
        </w:tc>
        <w:tc>
          <w:tcPr>
            <w:tcW w:w="1489" w:type="pct"/>
            <w:vAlign w:val="center"/>
          </w:tcPr>
          <w:p w14:paraId="05D67BA7" w14:textId="4FDC18D6" w:rsidR="00AC4C73" w:rsidRPr="00D91798" w:rsidRDefault="00AC4C73" w:rsidP="00AC4C73">
            <w:pPr>
              <w:pStyle w:val="Table"/>
            </w:pPr>
            <w:r w:rsidRPr="0094316D">
              <w:t>Use of external borrowing to finance budget deficits, with strict adherence to debt sustainability frameworks.</w:t>
            </w:r>
          </w:p>
        </w:tc>
      </w:tr>
      <w:tr w:rsidR="00AC4C73" w:rsidRPr="00D91798" w14:paraId="7BEC1E60" w14:textId="77777777" w:rsidTr="009A5BBD">
        <w:trPr>
          <w:cantSplit/>
        </w:trPr>
        <w:tc>
          <w:tcPr>
            <w:tcW w:w="1650" w:type="pct"/>
            <w:vAlign w:val="center"/>
          </w:tcPr>
          <w:p w14:paraId="4C84DC27" w14:textId="49B1A5E7" w:rsidR="00AC4C73" w:rsidRPr="00D91798" w:rsidRDefault="00AC4C73" w:rsidP="00AC4C73">
            <w:pPr>
              <w:pStyle w:val="Table"/>
            </w:pPr>
            <w:r w:rsidRPr="0094316D">
              <w:t>Mismanagement and inefficient use of financial resources.</w:t>
            </w:r>
          </w:p>
        </w:tc>
        <w:tc>
          <w:tcPr>
            <w:tcW w:w="967" w:type="pct"/>
            <w:vAlign w:val="center"/>
          </w:tcPr>
          <w:p w14:paraId="1FFE96E4" w14:textId="3F3678CB" w:rsidR="00AC4C73" w:rsidRPr="00D91798" w:rsidRDefault="00AC4C73" w:rsidP="00AC4C73">
            <w:pPr>
              <w:pStyle w:val="Table"/>
            </w:pPr>
            <w:r w:rsidRPr="0094316D">
              <w:t>Medium</w:t>
            </w:r>
          </w:p>
        </w:tc>
        <w:tc>
          <w:tcPr>
            <w:tcW w:w="893" w:type="pct"/>
            <w:vAlign w:val="center"/>
          </w:tcPr>
          <w:p w14:paraId="04EF70B0" w14:textId="27C4D079" w:rsidR="00AC4C73" w:rsidRPr="00D91798" w:rsidRDefault="00AC4C73" w:rsidP="00AC4C73">
            <w:pPr>
              <w:pStyle w:val="Table"/>
            </w:pPr>
            <w:r w:rsidRPr="0094316D">
              <w:t>High</w:t>
            </w:r>
          </w:p>
        </w:tc>
        <w:tc>
          <w:tcPr>
            <w:tcW w:w="1489" w:type="pct"/>
            <w:vAlign w:val="center"/>
          </w:tcPr>
          <w:p w14:paraId="70C2CAD4" w14:textId="447E8BCC" w:rsidR="00AC4C73" w:rsidRPr="00D91798" w:rsidRDefault="00AC4C73" w:rsidP="00AC4C73">
            <w:pPr>
              <w:pStyle w:val="Table"/>
            </w:pPr>
            <w:r w:rsidRPr="0094316D">
              <w:t>Adherence to existing and new institutional and legal/regulatory frameworks to ensure transparent and efficient use of financial resources.</w:t>
            </w:r>
          </w:p>
        </w:tc>
      </w:tr>
      <w:tr w:rsidR="00AC4C73" w:rsidRPr="00D91798" w14:paraId="70CFD6B2" w14:textId="77777777" w:rsidTr="009A5BBD">
        <w:trPr>
          <w:cantSplit/>
        </w:trPr>
        <w:tc>
          <w:tcPr>
            <w:tcW w:w="1650" w:type="pct"/>
            <w:vAlign w:val="center"/>
          </w:tcPr>
          <w:p w14:paraId="4F0F49C3" w14:textId="3D3EE330" w:rsidR="00AC4C73" w:rsidRPr="00D91798" w:rsidRDefault="00AC4C73" w:rsidP="00AC4C73">
            <w:pPr>
              <w:pStyle w:val="Table"/>
            </w:pPr>
            <w:r w:rsidRPr="0094316D">
              <w:t xml:space="preserve">Floods and other natural disasters </w:t>
            </w:r>
            <w:r w:rsidR="00645409">
              <w:t xml:space="preserve">are </w:t>
            </w:r>
            <w:r w:rsidRPr="0094316D">
              <w:t>impacting economic activity and the IGR tax base, causing increased overhead expenditure.</w:t>
            </w:r>
          </w:p>
        </w:tc>
        <w:tc>
          <w:tcPr>
            <w:tcW w:w="967" w:type="pct"/>
            <w:vAlign w:val="center"/>
          </w:tcPr>
          <w:p w14:paraId="188DA53E" w14:textId="5399EC0B" w:rsidR="00AC4C73" w:rsidRPr="00D91798" w:rsidRDefault="00AC4C73" w:rsidP="00AC4C73">
            <w:pPr>
              <w:pStyle w:val="Table"/>
            </w:pPr>
            <w:r w:rsidRPr="0094316D">
              <w:t>Medium</w:t>
            </w:r>
          </w:p>
        </w:tc>
        <w:tc>
          <w:tcPr>
            <w:tcW w:w="893" w:type="pct"/>
            <w:vAlign w:val="center"/>
          </w:tcPr>
          <w:p w14:paraId="0D09087A" w14:textId="53015695" w:rsidR="00AC4C73" w:rsidRPr="00D91798" w:rsidRDefault="00AC4C73" w:rsidP="00AC4C73">
            <w:pPr>
              <w:pStyle w:val="Table"/>
            </w:pPr>
            <w:r w:rsidRPr="0094316D">
              <w:t>Medium</w:t>
            </w:r>
          </w:p>
        </w:tc>
        <w:tc>
          <w:tcPr>
            <w:tcW w:w="1489" w:type="pct"/>
            <w:vAlign w:val="center"/>
          </w:tcPr>
          <w:p w14:paraId="2E96F8B4" w14:textId="21290203" w:rsidR="00AC4C73" w:rsidRPr="00D91798" w:rsidRDefault="00AC4C73" w:rsidP="00AC4C73">
            <w:pPr>
              <w:pStyle w:val="Table"/>
            </w:pPr>
            <w:r w:rsidRPr="0094316D">
              <w:t>Increased investment in climate resilience (flood control, irrigation), and enhanced disaster preparedness, adaptation, and awareness.</w:t>
            </w:r>
          </w:p>
        </w:tc>
      </w:tr>
    </w:tbl>
    <w:p w14:paraId="6FE02BD6" w14:textId="2BC49BCF" w:rsidR="008751B3" w:rsidRPr="00152C9E" w:rsidRDefault="008751B3" w:rsidP="008751B3">
      <w:pPr>
        <w:pStyle w:val="NumberedParagraph"/>
      </w:pPr>
      <w:r w:rsidRPr="00152C9E">
        <w:t>It should be noted</w:t>
      </w:r>
      <w:r w:rsidR="00986861" w:rsidRPr="00152C9E">
        <w:t>,</w:t>
      </w:r>
      <w:r w:rsidRPr="00152C9E">
        <w:t xml:space="preserve"> however</w:t>
      </w:r>
      <w:r w:rsidR="00645409" w:rsidRPr="00152C9E">
        <w:t>,</w:t>
      </w:r>
      <w:r w:rsidRPr="00152C9E">
        <w:t xml:space="preserve"> that no budget is without risk.  The ongoing implementation of the 20</w:t>
      </w:r>
      <w:r w:rsidR="00AB5707" w:rsidRPr="00152C9E">
        <w:t>2</w:t>
      </w:r>
      <w:r w:rsidR="0036263A" w:rsidRPr="00152C9E">
        <w:t>5</w:t>
      </w:r>
      <w:r w:rsidRPr="00152C9E">
        <w:t xml:space="preserve"> budget should be closely monitored, as should the security situation and impact of the fiscal and economic outlook.</w:t>
      </w:r>
    </w:p>
    <w:p w14:paraId="5D79B4D1" w14:textId="7B0D7261" w:rsidR="008751B3" w:rsidRDefault="008751B3" w:rsidP="008751B3">
      <w:pPr>
        <w:pStyle w:val="Heading1"/>
      </w:pPr>
      <w:bookmarkStart w:id="58" w:name="_Toc208941454"/>
      <w:r w:rsidRPr="008751B3">
        <w:lastRenderedPageBreak/>
        <w:t>Budget Policy Statement</w:t>
      </w:r>
      <w:bookmarkEnd w:id="58"/>
    </w:p>
    <w:p w14:paraId="4DE9F05E" w14:textId="3BBFC5FB" w:rsidR="008751B3" w:rsidRDefault="008751B3" w:rsidP="008751B3">
      <w:pPr>
        <w:pStyle w:val="Heading2"/>
        <w:ind w:left="709" w:hanging="709"/>
      </w:pPr>
      <w:bookmarkStart w:id="59" w:name="_Toc208941455"/>
      <w:r w:rsidRPr="008751B3">
        <w:t>Budget Policy Thrust</w:t>
      </w:r>
      <w:bookmarkEnd w:id="59"/>
    </w:p>
    <w:p w14:paraId="471AF3A4" w14:textId="767DDE6A" w:rsidR="008751B3" w:rsidRDefault="0017013D" w:rsidP="008751B3">
      <w:pPr>
        <w:pStyle w:val="NumberedParagraph"/>
      </w:pPr>
      <w:r w:rsidRPr="0017013D">
        <w:t>The overall policy objectives for the 2026-2028 budget period for Benue State are captured by the following points:</w:t>
      </w:r>
    </w:p>
    <w:p w14:paraId="47D194B4" w14:textId="550C6947" w:rsidR="00D45BEA" w:rsidRDefault="006E1458" w:rsidP="00D45BEA">
      <w:pPr>
        <w:pStyle w:val="NumberedParagraph"/>
        <w:numPr>
          <w:ilvl w:val="1"/>
          <w:numId w:val="10"/>
        </w:numPr>
        <w:rPr>
          <w:b/>
          <w:bCs/>
        </w:rPr>
      </w:pPr>
      <w:r w:rsidRPr="006E1458">
        <w:rPr>
          <w:b/>
          <w:bCs/>
        </w:rPr>
        <w:t>Revenue Mobilisation &amp; Fiscal Sustainability</w:t>
      </w:r>
    </w:p>
    <w:p w14:paraId="1171EECD" w14:textId="1578D0E3" w:rsidR="006F5B58" w:rsidRPr="006A620C" w:rsidRDefault="006F5B58" w:rsidP="006A620C">
      <w:pPr>
        <w:pStyle w:val="ListBullet"/>
      </w:pPr>
      <w:r w:rsidRPr="006A620C">
        <w:t>Strengthen Internally Generated Revenue (IGR) mechanisms through digital tax systems, land use charges, and SME levies</w:t>
      </w:r>
    </w:p>
    <w:p w14:paraId="5AE2F3EE" w14:textId="29CFA26E" w:rsidR="006F5B58" w:rsidRPr="006A620C" w:rsidRDefault="006F5B58" w:rsidP="006A620C">
      <w:pPr>
        <w:pStyle w:val="ListBullet"/>
      </w:pPr>
      <w:r w:rsidRPr="006A620C">
        <w:t>Optimise Federal Account Allocation Committee (FAAC) inflows with improved fiscal discipline</w:t>
      </w:r>
    </w:p>
    <w:p w14:paraId="60DDB201" w14:textId="4799909E" w:rsidR="001C1C16" w:rsidRPr="006A620C" w:rsidRDefault="006F5B58" w:rsidP="006A620C">
      <w:pPr>
        <w:pStyle w:val="ListBullet"/>
      </w:pPr>
      <w:r w:rsidRPr="006A620C">
        <w:t>Expand Public-Private Partnerships (PPP) and attract donor funding (targeting the 4% external financing gap)</w:t>
      </w:r>
    </w:p>
    <w:p w14:paraId="39E8CB36" w14:textId="1A878296" w:rsidR="006E1458" w:rsidRDefault="00915EF0" w:rsidP="00D45BEA">
      <w:pPr>
        <w:pStyle w:val="NumberedParagraph"/>
        <w:numPr>
          <w:ilvl w:val="1"/>
          <w:numId w:val="10"/>
        </w:numPr>
        <w:rPr>
          <w:b/>
          <w:bCs/>
        </w:rPr>
      </w:pPr>
      <w:r w:rsidRPr="00915EF0">
        <w:rPr>
          <w:b/>
          <w:bCs/>
        </w:rPr>
        <w:t>Inclusive Social Protection &amp; Human Capital Development</w:t>
      </w:r>
    </w:p>
    <w:p w14:paraId="642E8E05" w14:textId="7F97F14C" w:rsidR="006A142B" w:rsidRPr="006A620C" w:rsidRDefault="006A142B" w:rsidP="006A620C">
      <w:pPr>
        <w:pStyle w:val="ListBullet"/>
      </w:pPr>
      <w:r w:rsidRPr="006A620C">
        <w:t xml:space="preserve">Implement the 5-year Social Protection Policy and </w:t>
      </w:r>
      <w:proofErr w:type="spellStart"/>
      <w:r w:rsidRPr="006A620C">
        <w:t>Multisectoral</w:t>
      </w:r>
      <w:proofErr w:type="spellEnd"/>
      <w:r w:rsidRPr="006A620C">
        <w:t xml:space="preserve"> Action Plan for Food and Nutrition</w:t>
      </w:r>
    </w:p>
    <w:p w14:paraId="690B47A1" w14:textId="391BEDF4" w:rsidR="006A142B" w:rsidRPr="006A620C" w:rsidRDefault="006A142B" w:rsidP="006A620C">
      <w:pPr>
        <w:pStyle w:val="ListBullet"/>
      </w:pPr>
      <w:r w:rsidRPr="006A620C">
        <w:t>Increase budgetary allocations to education, healthcare, and youth empowerment</w:t>
      </w:r>
    </w:p>
    <w:p w14:paraId="68CBA1E7" w14:textId="1AA9435E" w:rsidR="006F5B58" w:rsidRPr="006A620C" w:rsidRDefault="006A142B" w:rsidP="006A620C">
      <w:pPr>
        <w:pStyle w:val="ListBullet"/>
      </w:pPr>
      <w:r w:rsidRPr="006A620C">
        <w:t>Launch targeted conditional cash transfers and school feeding programs in underserved communities</w:t>
      </w:r>
    </w:p>
    <w:p w14:paraId="0F312DCF" w14:textId="76F336A0" w:rsidR="00915EF0" w:rsidRDefault="00C4234B" w:rsidP="00D45BEA">
      <w:pPr>
        <w:pStyle w:val="NumberedParagraph"/>
        <w:numPr>
          <w:ilvl w:val="1"/>
          <w:numId w:val="10"/>
        </w:numPr>
        <w:rPr>
          <w:b/>
          <w:bCs/>
        </w:rPr>
      </w:pPr>
      <w:r w:rsidRPr="00C4234B">
        <w:rPr>
          <w:b/>
          <w:bCs/>
        </w:rPr>
        <w:t>Agricultural Transformation &amp; Food Security</w:t>
      </w:r>
    </w:p>
    <w:p w14:paraId="39B54167" w14:textId="2AB83B20" w:rsidR="00B85065" w:rsidRPr="006A620C" w:rsidRDefault="00B85065" w:rsidP="006A620C">
      <w:pPr>
        <w:pStyle w:val="ListBullet"/>
      </w:pPr>
      <w:r w:rsidRPr="006A620C">
        <w:t>Invest in mechanised farming, irrigation systems, and agro-processing zones</w:t>
      </w:r>
    </w:p>
    <w:p w14:paraId="799AD65E" w14:textId="1F81DA44" w:rsidR="00B85065" w:rsidRPr="006A620C" w:rsidRDefault="00B85065" w:rsidP="006A620C">
      <w:pPr>
        <w:pStyle w:val="ListBullet"/>
      </w:pPr>
      <w:r w:rsidRPr="006A620C">
        <w:t>Support farmer cooperatives and access to credit through budget-backed guarantees</w:t>
      </w:r>
    </w:p>
    <w:p w14:paraId="53A482AC" w14:textId="1C3C10B1" w:rsidR="006A142B" w:rsidRPr="006A620C" w:rsidRDefault="00B85065" w:rsidP="006A620C">
      <w:pPr>
        <w:pStyle w:val="ListBullet"/>
      </w:pPr>
      <w:r w:rsidRPr="006A620C">
        <w:t>Fund climate-resilient agriculture and extension services</w:t>
      </w:r>
    </w:p>
    <w:p w14:paraId="2F3325D3" w14:textId="14974DF7" w:rsidR="00C4234B" w:rsidRDefault="0014534C" w:rsidP="00D45BEA">
      <w:pPr>
        <w:pStyle w:val="NumberedParagraph"/>
        <w:numPr>
          <w:ilvl w:val="1"/>
          <w:numId w:val="10"/>
        </w:numPr>
        <w:rPr>
          <w:b/>
          <w:bCs/>
        </w:rPr>
      </w:pPr>
      <w:r w:rsidRPr="0014534C">
        <w:rPr>
          <w:b/>
          <w:bCs/>
        </w:rPr>
        <w:t>Infrastructure &amp; Urban Renewal</w:t>
      </w:r>
    </w:p>
    <w:p w14:paraId="0DC0DA72" w14:textId="6A5B01CF" w:rsidR="006E4DBA" w:rsidRPr="006A620C" w:rsidRDefault="006E4DBA" w:rsidP="006A620C">
      <w:pPr>
        <w:pStyle w:val="ListBullet"/>
      </w:pPr>
      <w:r w:rsidRPr="006A620C">
        <w:t>Prioritise road rehabilitation, rural electrification, and water supply projects</w:t>
      </w:r>
    </w:p>
    <w:p w14:paraId="3A89109F" w14:textId="6DC1D7DF" w:rsidR="006E4DBA" w:rsidRPr="006A620C" w:rsidRDefault="006E4DBA" w:rsidP="006A620C">
      <w:pPr>
        <w:pStyle w:val="ListBullet"/>
      </w:pPr>
      <w:r w:rsidRPr="006A620C">
        <w:t xml:space="preserve">Allocate capital expenditure to urban renewal in </w:t>
      </w:r>
      <w:proofErr w:type="spellStart"/>
      <w:r w:rsidRPr="006A620C">
        <w:t>Makurdi</w:t>
      </w:r>
      <w:proofErr w:type="spellEnd"/>
      <w:r w:rsidRPr="006A620C">
        <w:t xml:space="preserve"> and secondary cities</w:t>
      </w:r>
    </w:p>
    <w:p w14:paraId="3FCD1276" w14:textId="0DBE6064" w:rsidR="00B85065" w:rsidRPr="006A620C" w:rsidRDefault="006E4DBA" w:rsidP="006A620C">
      <w:pPr>
        <w:pStyle w:val="ListBullet"/>
      </w:pPr>
      <w:r w:rsidRPr="006A620C">
        <w:t>Leverage PPPs for housing, transport, and ICT infrastructure</w:t>
      </w:r>
    </w:p>
    <w:p w14:paraId="2F4EAECA" w14:textId="62DD3257" w:rsidR="0014534C" w:rsidRDefault="003F279D" w:rsidP="00D45BEA">
      <w:pPr>
        <w:pStyle w:val="NumberedParagraph"/>
        <w:numPr>
          <w:ilvl w:val="1"/>
          <w:numId w:val="10"/>
        </w:numPr>
        <w:rPr>
          <w:b/>
          <w:bCs/>
        </w:rPr>
      </w:pPr>
      <w:r w:rsidRPr="003F279D">
        <w:rPr>
          <w:b/>
          <w:bCs/>
        </w:rPr>
        <w:t>Governance, Transparency &amp; Citizen Engagement</w:t>
      </w:r>
    </w:p>
    <w:p w14:paraId="1FFF05B6" w14:textId="374C01DD" w:rsidR="00370B0F" w:rsidRPr="006A620C" w:rsidRDefault="00370B0F" w:rsidP="006A620C">
      <w:pPr>
        <w:pStyle w:val="ListBullet"/>
      </w:pPr>
      <w:r w:rsidRPr="006A620C">
        <w:t>Adopt performance-based budgeting and quarterly budget performance reviews</w:t>
      </w:r>
    </w:p>
    <w:p w14:paraId="158AD71C" w14:textId="12916EB9" w:rsidR="00370B0F" w:rsidRPr="006A620C" w:rsidRDefault="00370B0F" w:rsidP="006A620C">
      <w:pPr>
        <w:pStyle w:val="ListBullet"/>
      </w:pPr>
      <w:r w:rsidRPr="006A620C">
        <w:t>Publish citizen-friendly budget summaries and dashboards</w:t>
      </w:r>
    </w:p>
    <w:p w14:paraId="0751463A" w14:textId="00E6FB59" w:rsidR="006E4DBA" w:rsidRPr="006A620C" w:rsidRDefault="00370B0F" w:rsidP="006A620C">
      <w:pPr>
        <w:pStyle w:val="ListBullet"/>
      </w:pPr>
      <w:r w:rsidRPr="006A620C">
        <w:t>Institutionalise participatory budgeting with civil society and community leaders</w:t>
      </w:r>
    </w:p>
    <w:p w14:paraId="090C8639" w14:textId="66BD15B5" w:rsidR="003F279D" w:rsidRDefault="00FE3D2A" w:rsidP="00D45BEA">
      <w:pPr>
        <w:pStyle w:val="NumberedParagraph"/>
        <w:numPr>
          <w:ilvl w:val="1"/>
          <w:numId w:val="10"/>
        </w:numPr>
        <w:rPr>
          <w:b/>
          <w:bCs/>
        </w:rPr>
      </w:pPr>
      <w:r w:rsidRPr="00FE3D2A">
        <w:rPr>
          <w:b/>
          <w:bCs/>
        </w:rPr>
        <w:t>Environmental Sustainability &amp; Climate Action</w:t>
      </w:r>
    </w:p>
    <w:p w14:paraId="3125307D" w14:textId="53AF62B7" w:rsidR="006A620C" w:rsidRPr="006A620C" w:rsidRDefault="006A620C" w:rsidP="006A620C">
      <w:pPr>
        <w:pStyle w:val="ListBullet"/>
      </w:pPr>
      <w:r w:rsidRPr="006A620C">
        <w:t>Budget for reforestation, flood control, and waste management</w:t>
      </w:r>
    </w:p>
    <w:p w14:paraId="7AC1ED0B" w14:textId="42434EEB" w:rsidR="006A620C" w:rsidRPr="006A620C" w:rsidRDefault="006A620C" w:rsidP="006A620C">
      <w:pPr>
        <w:pStyle w:val="ListBullet"/>
      </w:pPr>
      <w:r w:rsidRPr="006A620C">
        <w:t>Integrate climate adaptation into all capital projects</w:t>
      </w:r>
    </w:p>
    <w:p w14:paraId="54E5EB8F" w14:textId="41288780" w:rsidR="00D45BEA" w:rsidRPr="0017013D" w:rsidRDefault="006A620C" w:rsidP="00E11B4A">
      <w:pPr>
        <w:pStyle w:val="ListBullet"/>
      </w:pPr>
      <w:r w:rsidRPr="006A620C">
        <w:t>Establish a Green Fund for eco-friendly initiatives</w:t>
      </w:r>
    </w:p>
    <w:p w14:paraId="00F247CD" w14:textId="6FA53D4A" w:rsidR="00C668D6" w:rsidRPr="00C668D6" w:rsidRDefault="008751B3" w:rsidP="007D3A70">
      <w:pPr>
        <w:pStyle w:val="Heading2"/>
        <w:ind w:left="709" w:hanging="709"/>
      </w:pPr>
      <w:bookmarkStart w:id="60" w:name="_Toc208941456"/>
      <w:r w:rsidRPr="008751B3">
        <w:t>Sector Allocations (3 Year)</w:t>
      </w:r>
      <w:bookmarkEnd w:id="60"/>
    </w:p>
    <w:p w14:paraId="289CE7A9" w14:textId="5A35E101" w:rsidR="00C03A57" w:rsidRDefault="00C03A57" w:rsidP="008751B3">
      <w:pPr>
        <w:pStyle w:val="NumberedParagraph"/>
      </w:pPr>
      <w:r w:rsidRPr="00C03A57">
        <w:t>The total forecast</w:t>
      </w:r>
      <w:r w:rsidR="00152C9E">
        <w:t>ed</w:t>
      </w:r>
      <w:r w:rsidRPr="00C03A57">
        <w:t xml:space="preserve"> budget size for the 202</w:t>
      </w:r>
      <w:r w:rsidR="008C3FE8">
        <w:t>6</w:t>
      </w:r>
      <w:r w:rsidRPr="00C03A57">
        <w:t xml:space="preserve"> fiscal year as explained in Section 3.C above is  N</w:t>
      </w:r>
      <w:r w:rsidR="00E6781A" w:rsidRPr="00E6781A">
        <w:t>428,523,506,257</w:t>
      </w:r>
      <w:r w:rsidRPr="00C03A57">
        <w:t xml:space="preserve"> of which N</w:t>
      </w:r>
      <w:r w:rsidR="00BC1A90" w:rsidRPr="00BC1A90">
        <w:t>140,600,055,913</w:t>
      </w:r>
      <w:r w:rsidR="00284226">
        <w:t xml:space="preserve"> </w:t>
      </w:r>
      <w:r w:rsidR="00701D59">
        <w:t>is</w:t>
      </w:r>
      <w:r w:rsidRPr="00C03A57">
        <w:t xml:space="preserve"> recurrent expenditure (i.e. Personnel, Overhead, Social Contributions, Special Programmes, Grants</w:t>
      </w:r>
      <w:r w:rsidR="00EE7CE7">
        <w:t xml:space="preserve">, </w:t>
      </w:r>
      <w:r w:rsidRPr="00C03A57">
        <w:t>Contributions</w:t>
      </w:r>
      <w:r w:rsidR="00EE7CE7">
        <w:t xml:space="preserve"> and </w:t>
      </w:r>
      <w:r w:rsidR="005C4B56">
        <w:t>Subsidies</w:t>
      </w:r>
      <w:r w:rsidR="00EE7CE7">
        <w:t>, and</w:t>
      </w:r>
      <w:r w:rsidRPr="00C03A57">
        <w:t xml:space="preserve"> Public Debt </w:t>
      </w:r>
      <w:r w:rsidRPr="00702150">
        <w:t>Charge), N</w:t>
      </w:r>
      <w:r w:rsidR="005C4B56" w:rsidRPr="00702150">
        <w:t>283,164,981,337</w:t>
      </w:r>
      <w:r w:rsidR="000E16D4" w:rsidRPr="00702150">
        <w:t xml:space="preserve"> </w:t>
      </w:r>
      <w:r w:rsidRPr="00702150">
        <w:t>will be for capital expenditure, and N</w:t>
      </w:r>
      <w:r w:rsidR="005C4B56" w:rsidRPr="00702150">
        <w:t>4,758,469,007</w:t>
      </w:r>
      <w:r w:rsidR="00702150" w:rsidRPr="00702150">
        <w:t xml:space="preserve"> </w:t>
      </w:r>
      <w:r w:rsidRPr="00702150">
        <w:t>will be for contingency reserv</w:t>
      </w:r>
      <w:r w:rsidR="00645409" w:rsidRPr="00702150">
        <w:t>e for unforeseen event that may occur during the fiscal year.</w:t>
      </w:r>
      <w:r w:rsidRPr="00702150">
        <w:t xml:space="preserve"> A planning reserve of N</w:t>
      </w:r>
      <w:r w:rsidR="003F347E" w:rsidRPr="003F347E">
        <w:t>3</w:t>
      </w:r>
      <w:proofErr w:type="gramStart"/>
      <w:r w:rsidR="003F347E" w:rsidRPr="003F347E">
        <w:t>,721,581,864</w:t>
      </w:r>
      <w:proofErr w:type="gramEnd"/>
      <w:r w:rsidR="003F347E">
        <w:t xml:space="preserve"> </w:t>
      </w:r>
      <w:r w:rsidRPr="00C03A57">
        <w:t>provision was made</w:t>
      </w:r>
      <w:r w:rsidR="005C4B56">
        <w:t>,</w:t>
      </w:r>
      <w:r w:rsidRPr="00C03A57">
        <w:t xml:space="preserve"> which will be allocated to sectors at </w:t>
      </w:r>
      <w:r w:rsidR="00E6781A">
        <w:t xml:space="preserve">the </w:t>
      </w:r>
      <w:r w:rsidRPr="00C03A57">
        <w:t xml:space="preserve">bilateral discussion stage to fund critical expenditure items not envisaged at the stage of issuing </w:t>
      </w:r>
      <w:r w:rsidR="003F347E">
        <w:t xml:space="preserve">the </w:t>
      </w:r>
      <w:r w:rsidRPr="00C03A57">
        <w:t>budget call circular.</w:t>
      </w:r>
    </w:p>
    <w:p w14:paraId="68A6E889" w14:textId="456959C6" w:rsidR="008751B3" w:rsidRPr="008751B3" w:rsidRDefault="008751B3" w:rsidP="00701D59">
      <w:pPr>
        <w:pStyle w:val="NumberedParagraph"/>
      </w:pPr>
      <w:r w:rsidRPr="008751B3">
        <w:t xml:space="preserve">Presented in the table below are the indicative three envelopes for sectors and sub-sectors.  </w:t>
      </w:r>
    </w:p>
    <w:p w14:paraId="3871D1F8" w14:textId="1D7D1D87" w:rsidR="00C668D6" w:rsidRDefault="00C668D6" w:rsidP="00C668D6">
      <w:pPr>
        <w:pStyle w:val="Caption"/>
      </w:pPr>
      <w:bookmarkStart w:id="61" w:name="_Toc208941486"/>
      <w:r>
        <w:lastRenderedPageBreak/>
        <w:t xml:space="preserve">Table </w:t>
      </w:r>
      <w:fldSimple w:instr=" SEQ Table \* ARABIC ">
        <w:r w:rsidR="00F60625">
          <w:rPr>
            <w:noProof/>
          </w:rPr>
          <w:t>9</w:t>
        </w:r>
      </w:fldSimple>
      <w:r>
        <w:t xml:space="preserve">: </w:t>
      </w:r>
      <w:r w:rsidRPr="00C668D6">
        <w:t>Indicative Sector Expenditure Ceilings 20</w:t>
      </w:r>
      <w:r w:rsidR="00A273FE">
        <w:t>27</w:t>
      </w:r>
      <w:r w:rsidRPr="00C668D6">
        <w:t>-20</w:t>
      </w:r>
      <w:r w:rsidR="00E11B4A">
        <w:t>2</w:t>
      </w:r>
      <w:bookmarkEnd w:id="61"/>
      <w:r w:rsidR="00A273FE">
        <w:t>9</w:t>
      </w:r>
    </w:p>
    <w:p w14:paraId="3F92C9F4" w14:textId="7F2FF5C6" w:rsidR="00C668D6" w:rsidRDefault="00D66BE8" w:rsidP="00C668D6">
      <w:pPr>
        <w:pStyle w:val="Caption"/>
        <w:jc w:val="both"/>
      </w:pPr>
      <w:r w:rsidRPr="00D66BE8">
        <w:rPr>
          <w:noProof/>
          <w:lang w:val="en-US" w:eastAsia="en-US"/>
        </w:rPr>
        <w:drawing>
          <wp:inline distT="0" distB="0" distL="0" distR="0" wp14:anchorId="6DF4AF87" wp14:editId="3DD6BA0F">
            <wp:extent cx="6120130" cy="2960370"/>
            <wp:effectExtent l="0" t="0" r="1270" b="0"/>
            <wp:docPr id="1034090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90763" name=""/>
                    <pic:cNvPicPr/>
                  </pic:nvPicPr>
                  <pic:blipFill>
                    <a:blip r:embed="rId68"/>
                    <a:stretch>
                      <a:fillRect/>
                    </a:stretch>
                  </pic:blipFill>
                  <pic:spPr>
                    <a:xfrm>
                      <a:off x="0" y="0"/>
                      <a:ext cx="6120130" cy="2960370"/>
                    </a:xfrm>
                    <a:prstGeom prst="rect">
                      <a:avLst/>
                    </a:prstGeom>
                  </pic:spPr>
                </pic:pic>
              </a:graphicData>
            </a:graphic>
          </wp:inline>
        </w:drawing>
      </w:r>
    </w:p>
    <w:p w14:paraId="08E096CD" w14:textId="52BD6678" w:rsidR="00D66BE8" w:rsidRDefault="00D8410D" w:rsidP="00D66BE8">
      <w:r w:rsidRPr="00D8410D">
        <w:rPr>
          <w:noProof/>
          <w:lang w:val="en-US" w:eastAsia="en-US"/>
        </w:rPr>
        <w:drawing>
          <wp:inline distT="0" distB="0" distL="0" distR="0" wp14:anchorId="4710E395" wp14:editId="5288F678">
            <wp:extent cx="6120130" cy="2960370"/>
            <wp:effectExtent l="0" t="0" r="1270" b="0"/>
            <wp:docPr id="164737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371896" name=""/>
                    <pic:cNvPicPr/>
                  </pic:nvPicPr>
                  <pic:blipFill>
                    <a:blip r:embed="rId69"/>
                    <a:stretch>
                      <a:fillRect/>
                    </a:stretch>
                  </pic:blipFill>
                  <pic:spPr>
                    <a:xfrm>
                      <a:off x="0" y="0"/>
                      <a:ext cx="6120130" cy="2960370"/>
                    </a:xfrm>
                    <a:prstGeom prst="rect">
                      <a:avLst/>
                    </a:prstGeom>
                  </pic:spPr>
                </pic:pic>
              </a:graphicData>
            </a:graphic>
          </wp:inline>
        </w:drawing>
      </w:r>
    </w:p>
    <w:p w14:paraId="7FC247B9" w14:textId="3C45AF5E" w:rsidR="00D8410D" w:rsidRDefault="00907185" w:rsidP="00D66BE8">
      <w:r w:rsidRPr="00907185">
        <w:rPr>
          <w:noProof/>
          <w:lang w:val="en-US" w:eastAsia="en-US"/>
        </w:rPr>
        <w:lastRenderedPageBreak/>
        <w:drawing>
          <wp:inline distT="0" distB="0" distL="0" distR="0" wp14:anchorId="5865853C" wp14:editId="0079DC6D">
            <wp:extent cx="6120130" cy="2817495"/>
            <wp:effectExtent l="0" t="0" r="1270" b="1905"/>
            <wp:docPr id="1124164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64229" name=""/>
                    <pic:cNvPicPr/>
                  </pic:nvPicPr>
                  <pic:blipFill>
                    <a:blip r:embed="rId70"/>
                    <a:stretch>
                      <a:fillRect/>
                    </a:stretch>
                  </pic:blipFill>
                  <pic:spPr>
                    <a:xfrm>
                      <a:off x="0" y="0"/>
                      <a:ext cx="6120130" cy="2817495"/>
                    </a:xfrm>
                    <a:prstGeom prst="rect">
                      <a:avLst/>
                    </a:prstGeom>
                  </pic:spPr>
                </pic:pic>
              </a:graphicData>
            </a:graphic>
          </wp:inline>
        </w:drawing>
      </w:r>
    </w:p>
    <w:p w14:paraId="3D0642DB" w14:textId="0E2C193D" w:rsidR="00907185" w:rsidRDefault="00C70F7B" w:rsidP="00D66BE8">
      <w:r w:rsidRPr="00C70F7B">
        <w:rPr>
          <w:noProof/>
          <w:lang w:val="en-US" w:eastAsia="en-US"/>
        </w:rPr>
        <w:drawing>
          <wp:inline distT="0" distB="0" distL="0" distR="0" wp14:anchorId="4CD0E4FE" wp14:editId="499A1386">
            <wp:extent cx="6120130" cy="3792220"/>
            <wp:effectExtent l="0" t="0" r="1270" b="5080"/>
            <wp:docPr id="1097917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17367" name=""/>
                    <pic:cNvPicPr/>
                  </pic:nvPicPr>
                  <pic:blipFill>
                    <a:blip r:embed="rId71"/>
                    <a:stretch>
                      <a:fillRect/>
                    </a:stretch>
                  </pic:blipFill>
                  <pic:spPr>
                    <a:xfrm>
                      <a:off x="0" y="0"/>
                      <a:ext cx="6120130" cy="3792220"/>
                    </a:xfrm>
                    <a:prstGeom prst="rect">
                      <a:avLst/>
                    </a:prstGeom>
                  </pic:spPr>
                </pic:pic>
              </a:graphicData>
            </a:graphic>
          </wp:inline>
        </w:drawing>
      </w:r>
    </w:p>
    <w:p w14:paraId="12A44763" w14:textId="0976C6D9" w:rsidR="00C70F7B" w:rsidRPr="00D66BE8" w:rsidRDefault="00946103" w:rsidP="00D66BE8">
      <w:r w:rsidRPr="00946103">
        <w:rPr>
          <w:noProof/>
          <w:lang w:val="en-US" w:eastAsia="en-US"/>
        </w:rPr>
        <w:lastRenderedPageBreak/>
        <w:drawing>
          <wp:inline distT="0" distB="0" distL="0" distR="0" wp14:anchorId="2CB71E38" wp14:editId="509A363F">
            <wp:extent cx="6120130" cy="2888615"/>
            <wp:effectExtent l="0" t="0" r="1270" b="0"/>
            <wp:docPr id="522366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66978" name=""/>
                    <pic:cNvPicPr/>
                  </pic:nvPicPr>
                  <pic:blipFill>
                    <a:blip r:embed="rId72"/>
                    <a:stretch>
                      <a:fillRect/>
                    </a:stretch>
                  </pic:blipFill>
                  <pic:spPr>
                    <a:xfrm>
                      <a:off x="0" y="0"/>
                      <a:ext cx="6120130" cy="2888615"/>
                    </a:xfrm>
                    <a:prstGeom prst="rect">
                      <a:avLst/>
                    </a:prstGeom>
                  </pic:spPr>
                </pic:pic>
              </a:graphicData>
            </a:graphic>
          </wp:inline>
        </w:drawing>
      </w:r>
    </w:p>
    <w:p w14:paraId="5A411F8B" w14:textId="428E6484" w:rsidR="00C668D6" w:rsidRDefault="00C668D6">
      <w:pPr>
        <w:spacing w:before="0" w:after="200" w:line="276" w:lineRule="auto"/>
        <w:jc w:val="left"/>
      </w:pPr>
      <w:r>
        <w:br w:type="page"/>
      </w:r>
    </w:p>
    <w:p w14:paraId="6BB2FBE5" w14:textId="2C8E478F" w:rsidR="008751B3" w:rsidRDefault="00C668D6" w:rsidP="00C668D6">
      <w:pPr>
        <w:pStyle w:val="Heading2"/>
        <w:ind w:left="709" w:hanging="709"/>
      </w:pPr>
      <w:bookmarkStart w:id="62" w:name="_Toc208941457"/>
      <w:r w:rsidRPr="00C668D6">
        <w:lastRenderedPageBreak/>
        <w:t>Considerations for the Annual Budget Process</w:t>
      </w:r>
      <w:bookmarkEnd w:id="62"/>
    </w:p>
    <w:p w14:paraId="08FFE837" w14:textId="77777777" w:rsidR="00AF0F83" w:rsidRDefault="00AF0F83" w:rsidP="00AF0F83">
      <w:pPr>
        <w:pStyle w:val="NumberedParagraph"/>
      </w:pPr>
      <w:r>
        <w:t>The budget call circular should include the following instructions to MDAs for the annual budget submissions:</w:t>
      </w:r>
    </w:p>
    <w:p w14:paraId="5C7C4033" w14:textId="3E3887E2" w:rsidR="00AF0F83" w:rsidRPr="00702150" w:rsidRDefault="00AF0F83" w:rsidP="00FF0260">
      <w:pPr>
        <w:pStyle w:val="NumberedParagraph"/>
        <w:numPr>
          <w:ilvl w:val="0"/>
          <w:numId w:val="21"/>
        </w:numPr>
      </w:pPr>
      <w:r>
        <w:t xml:space="preserve">Only prioritised projects contained in the Health, Education, WASH, and Social Protection sectors’ </w:t>
      </w:r>
      <w:r w:rsidRPr="00702150">
        <w:t>MTSS should be in the MDA's</w:t>
      </w:r>
      <w:r w:rsidR="00645409" w:rsidRPr="00702150">
        <w:t xml:space="preserve"> </w:t>
      </w:r>
      <w:r w:rsidRPr="00702150">
        <w:t>budget proposal.</w:t>
      </w:r>
    </w:p>
    <w:p w14:paraId="25B7C38A" w14:textId="77777777" w:rsidR="00AF0F83" w:rsidRDefault="00AF0F83" w:rsidP="00FF0260">
      <w:pPr>
        <w:pStyle w:val="NumberedParagraph"/>
        <w:numPr>
          <w:ilvl w:val="0"/>
          <w:numId w:val="21"/>
        </w:numPr>
      </w:pPr>
      <w:r>
        <w:t>Other MDAs should ensure detailed needs assessments for capital projects and strategic Consultation with the citizenry to back up each item of the Budget, in line with the Government's promise to ensure effective citizen engagement.</w:t>
      </w:r>
    </w:p>
    <w:p w14:paraId="15D544E6" w14:textId="77777777" w:rsidR="00AF0F83" w:rsidRDefault="00AF0F83" w:rsidP="00FF0260">
      <w:pPr>
        <w:pStyle w:val="NumberedParagraph"/>
        <w:numPr>
          <w:ilvl w:val="0"/>
          <w:numId w:val="21"/>
        </w:numPr>
      </w:pPr>
      <w:r>
        <w:t>Other MDAs' Budget submissions for capital projects must include full lifetime capital investment requirements (costs) and also sources of funding (particularly if grants and/or loans are being used to fund partially/fully the project).</w:t>
      </w:r>
    </w:p>
    <w:p w14:paraId="695C01A1" w14:textId="2198FD64" w:rsidR="00C668D6" w:rsidRPr="00702150" w:rsidRDefault="00AF0F83" w:rsidP="00FF0260">
      <w:pPr>
        <w:pStyle w:val="NumberedParagraph"/>
        <w:numPr>
          <w:ilvl w:val="0"/>
          <w:numId w:val="21"/>
        </w:numPr>
      </w:pPr>
      <w:r>
        <w:t xml:space="preserve">Finally, all MDAs are expected to ensure strict compliance with the National Chart of Accounts codes, Budget ceilings to ensure it is in line with MTEF and other highlights as indicated in the </w:t>
      </w:r>
      <w:r w:rsidR="00702150" w:rsidRPr="00702150">
        <w:t>Benue</w:t>
      </w:r>
      <w:r w:rsidRPr="00702150">
        <w:t xml:space="preserve"> State Budget </w:t>
      </w:r>
      <w:r w:rsidR="008D30D4">
        <w:t>Calendar</w:t>
      </w:r>
      <w:r w:rsidRPr="00702150">
        <w:t>.</w:t>
      </w:r>
    </w:p>
    <w:p w14:paraId="64EECFB6" w14:textId="77777777" w:rsidR="00C668D6" w:rsidRPr="00C668D6" w:rsidRDefault="00C668D6" w:rsidP="00C668D6">
      <w:pPr>
        <w:pStyle w:val="NumberedParagraph"/>
        <w:numPr>
          <w:ilvl w:val="0"/>
          <w:numId w:val="0"/>
        </w:numPr>
        <w:rPr>
          <w:highlight w:val="yellow"/>
        </w:rPr>
      </w:pPr>
    </w:p>
    <w:p w14:paraId="5779B7E2" w14:textId="187537B2" w:rsidR="008751B3" w:rsidRDefault="00C668D6" w:rsidP="00C668D6">
      <w:pPr>
        <w:pStyle w:val="Heading1"/>
      </w:pPr>
      <w:bookmarkStart w:id="63" w:name="_Toc208941458"/>
      <w:r w:rsidRPr="00C668D6">
        <w:lastRenderedPageBreak/>
        <w:t>Summary of Key Points and Recommendations</w:t>
      </w:r>
      <w:bookmarkEnd w:id="63"/>
    </w:p>
    <w:p w14:paraId="63E66E3F" w14:textId="03E7085F" w:rsidR="00C668D6" w:rsidRDefault="00C668D6" w:rsidP="00C668D6">
      <w:pPr>
        <w:pStyle w:val="NumberedParagraph"/>
      </w:pPr>
      <w:r w:rsidRPr="00C668D6">
        <w:t>We summarise below a list of the key points arising in this document:</w:t>
      </w:r>
    </w:p>
    <w:bookmarkEnd w:id="0"/>
    <w:p w14:paraId="744D34E6" w14:textId="360C09C3" w:rsidR="00F77652" w:rsidRPr="00F77652" w:rsidRDefault="00F77652" w:rsidP="00FF0260">
      <w:pPr>
        <w:pStyle w:val="NumberedParagraph"/>
        <w:numPr>
          <w:ilvl w:val="0"/>
          <w:numId w:val="21"/>
        </w:numPr>
      </w:pPr>
      <w:r w:rsidRPr="00F77652">
        <w:t>The draft MTEF document should be presented to the Executive Council (</w:t>
      </w:r>
      <w:proofErr w:type="spellStart"/>
      <w:r w:rsidRPr="00F77652">
        <w:t>ExCo</w:t>
      </w:r>
      <w:proofErr w:type="spellEnd"/>
      <w:r w:rsidRPr="00F77652">
        <w:t xml:space="preserve">), and the </w:t>
      </w:r>
      <w:r w:rsidR="006132C5">
        <w:t>Director-General/CEO Benue State Budget and Economic Planning Commission</w:t>
      </w:r>
      <w:r w:rsidRPr="00F77652">
        <w:t xml:space="preserve"> should present the final MTEF to the State House of Assembly (</w:t>
      </w:r>
      <w:proofErr w:type="spellStart"/>
      <w:r w:rsidRPr="00F77652">
        <w:t>SHoA</w:t>
      </w:r>
      <w:proofErr w:type="spellEnd"/>
      <w:r w:rsidRPr="00F77652">
        <w:t>) for their review and approval in accordance with the Fiscal Responsibility Law (FRL).</w:t>
      </w:r>
    </w:p>
    <w:p w14:paraId="50F344D4" w14:textId="77777777" w:rsidR="00F77652" w:rsidRPr="00F77652" w:rsidRDefault="00F77652" w:rsidP="00FF0260">
      <w:pPr>
        <w:pStyle w:val="NumberedParagraph"/>
        <w:numPr>
          <w:ilvl w:val="0"/>
          <w:numId w:val="21"/>
        </w:numPr>
      </w:pPr>
      <w:r w:rsidRPr="00F77652">
        <w:t>The State budget estimates should be based on the MTEF document, which has historically provided more realistic estimates than have been included in the Annual Budget.</w:t>
      </w:r>
    </w:p>
    <w:p w14:paraId="1FA45ACD" w14:textId="237B0FC7" w:rsidR="00F77652" w:rsidRPr="00F77652" w:rsidRDefault="00F77652" w:rsidP="00FF0260">
      <w:pPr>
        <w:pStyle w:val="NumberedParagraph"/>
        <w:numPr>
          <w:ilvl w:val="0"/>
          <w:numId w:val="21"/>
        </w:numPr>
      </w:pPr>
      <w:r w:rsidRPr="00F77652">
        <w:t xml:space="preserve">Loans expected to be drawn as capital receipts should be captured in the budget only when they have been approved and commitment fees are paid, and documentation is lodged with the Debt Management </w:t>
      </w:r>
      <w:r w:rsidR="00421CCE">
        <w:t>Office</w:t>
      </w:r>
      <w:r w:rsidRPr="00F77652">
        <w:t xml:space="preserve"> (DM</w:t>
      </w:r>
      <w:r w:rsidR="00421CCE">
        <w:t>O</w:t>
      </w:r>
      <w:r w:rsidRPr="00F77652">
        <w:t xml:space="preserve">). </w:t>
      </w:r>
    </w:p>
    <w:p w14:paraId="7F3C1F85" w14:textId="1B95116B" w:rsidR="00F77652" w:rsidRPr="00F77652" w:rsidRDefault="00F77652" w:rsidP="00FF0260">
      <w:pPr>
        <w:pStyle w:val="NumberedParagraph"/>
        <w:numPr>
          <w:ilvl w:val="0"/>
          <w:numId w:val="21"/>
        </w:numPr>
      </w:pPr>
      <w:r w:rsidRPr="00F77652">
        <w:t xml:space="preserve">For all loans, the precise impact on debt sustainability ratios should be assessed, and a detailed analysis of the impact of the associated expenditure (for example, Economic Analysis, Financial Analysis) is also undertaken to help justify the funding. </w:t>
      </w:r>
    </w:p>
    <w:p w14:paraId="50BA0446" w14:textId="15E234C8" w:rsidR="00934A18" w:rsidRDefault="00934A18" w:rsidP="00F77652">
      <w:pPr>
        <w:pStyle w:val="NumberedParagraph"/>
        <w:numPr>
          <w:ilvl w:val="0"/>
          <w:numId w:val="0"/>
        </w:numPr>
        <w:ind w:left="567" w:hanging="567"/>
      </w:pPr>
    </w:p>
    <w:sectPr w:rsidR="00934A18" w:rsidSect="004C6ABA">
      <w:pgSz w:w="11906" w:h="16838" w:code="9"/>
      <w:pgMar w:top="1304" w:right="1134" w:bottom="1134"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07A17" w14:textId="77777777" w:rsidR="0055520F" w:rsidRDefault="0055520F" w:rsidP="00895F56">
      <w:r>
        <w:separator/>
      </w:r>
    </w:p>
  </w:endnote>
  <w:endnote w:type="continuationSeparator" w:id="0">
    <w:p w14:paraId="30F09FFF" w14:textId="77777777" w:rsidR="0055520F" w:rsidRDefault="0055520F" w:rsidP="0089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TrebuchetMS">
    <w:altName w:val="Yu Gothic"/>
    <w:charset w:val="80"/>
    <w:family w:val="swiss"/>
    <w:pitch w:val="default"/>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22E7B" w14:textId="7C027EB6" w:rsidR="001437B8" w:rsidRPr="0068061C" w:rsidRDefault="001437B8" w:rsidP="00466B4F">
    <w:pPr>
      <w:pStyle w:val="Footer"/>
    </w:pPr>
    <w:r w:rsidRPr="00811E5F">
      <w:t>EFU-FSP-BPS 20</w:t>
    </w:r>
    <w:r>
      <w:t>27</w:t>
    </w:r>
    <w:r w:rsidRPr="00811E5F">
      <w:t xml:space="preserve"> -20</w:t>
    </w:r>
    <w:r>
      <w:t>29</w:t>
    </w:r>
    <w:r w:rsidRPr="0068061C">
      <w:tab/>
      <w:t xml:space="preserve">Page | </w:t>
    </w:r>
    <w:r w:rsidRPr="0068061C">
      <w:fldChar w:fldCharType="begin"/>
    </w:r>
    <w:r w:rsidRPr="0068061C">
      <w:instrText xml:space="preserve"> PAGE   \* MERGEFORMAT </w:instrText>
    </w:r>
    <w:r w:rsidRPr="0068061C">
      <w:fldChar w:fldCharType="separate"/>
    </w:r>
    <w:r w:rsidR="001C09B0">
      <w:rPr>
        <w:noProof/>
      </w:rPr>
      <w:t>19</w:t>
    </w:r>
    <w:r w:rsidRPr="0068061C">
      <w:fldChar w:fldCharType="end"/>
    </w:r>
    <w:r w:rsidRPr="0068061C">
      <w:rPr>
        <w:noProof/>
        <w:lang w:val="en-US" w:eastAsia="en-US"/>
      </w:rPr>
      <w:drawing>
        <wp:anchor distT="0" distB="0" distL="114300" distR="114300" simplePos="0" relativeHeight="251671552" behindDoc="1" locked="0" layoutInCell="1" allowOverlap="1" wp14:anchorId="7C21398C" wp14:editId="0B9A03BF">
          <wp:simplePos x="0" y="0"/>
          <wp:positionH relativeFrom="column">
            <wp:posOffset>702945</wp:posOffset>
          </wp:positionH>
          <wp:positionV relativeFrom="paragraph">
            <wp:posOffset>2768600</wp:posOffset>
          </wp:positionV>
          <wp:extent cx="6151245" cy="60960"/>
          <wp:effectExtent l="0" t="0" r="1905" b="0"/>
          <wp:wrapNone/>
          <wp:docPr id="1530420827" name="Picture 153042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1245" cy="609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218C7" w14:textId="77777777" w:rsidR="0055520F" w:rsidRDefault="0055520F" w:rsidP="00895F56">
      <w:r>
        <w:separator/>
      </w:r>
    </w:p>
  </w:footnote>
  <w:footnote w:type="continuationSeparator" w:id="0">
    <w:p w14:paraId="531C666E" w14:textId="77777777" w:rsidR="0055520F" w:rsidRDefault="0055520F" w:rsidP="00895F56">
      <w:r>
        <w:continuationSeparator/>
      </w:r>
    </w:p>
  </w:footnote>
  <w:footnote w:id="1">
    <w:p w14:paraId="19EFD9EE" w14:textId="357E5947" w:rsidR="001437B8" w:rsidRDefault="001437B8">
      <w:pPr>
        <w:pStyle w:val="FootnoteText"/>
      </w:pPr>
      <w:r>
        <w:rPr>
          <w:rStyle w:val="FootnoteReference"/>
        </w:rPr>
        <w:footnoteRef/>
      </w:r>
      <w:r>
        <w:t xml:space="preserve"> </w:t>
      </w:r>
      <w:r w:rsidRPr="00093FDF">
        <w:t xml:space="preserve">  * = estimate</w:t>
      </w:r>
    </w:p>
  </w:footnote>
  <w:footnote w:id="2">
    <w:p w14:paraId="458DFABB" w14:textId="77777777" w:rsidR="001437B8" w:rsidRPr="003D13F3" w:rsidRDefault="001437B8" w:rsidP="00207CD0">
      <w:pPr>
        <w:pStyle w:val="FootnoteText"/>
      </w:pPr>
      <w:r w:rsidRPr="003D13F3">
        <w:rPr>
          <w:rStyle w:val="FootnoteReference"/>
        </w:rPr>
        <w:footnoteRef/>
      </w:r>
      <w:r w:rsidRPr="003D13F3">
        <w:t xml:space="preserve"> African Development Bank Group, African Economic Outlook, 2025 - Making Africa’s Capital Work Better for African’s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88B53" w14:textId="50B952CA" w:rsidR="001437B8" w:rsidRDefault="001437B8" w:rsidP="00466B4F">
    <w:pPr>
      <w:pStyle w:val="Header"/>
    </w:pPr>
    <w:r>
      <w:rPr>
        <w:noProof/>
        <w:lang w:val="en-US" w:eastAsia="en-US"/>
      </w:rPr>
      <mc:AlternateContent>
        <mc:Choice Requires="wps">
          <w:drawing>
            <wp:anchor distT="0" distB="0" distL="114300" distR="114300" simplePos="0" relativeHeight="251674624" behindDoc="0" locked="0" layoutInCell="0" allowOverlap="1" wp14:anchorId="70A9F821" wp14:editId="43A107A5">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color w:val="32746D"/>
                              <w:sz w:val="20"/>
                            </w:rPr>
                            <w:alias w:val="Title"/>
                            <w:id w:val="78679243"/>
                            <w:dataBinding w:prefixMappings="xmlns:ns0='http://schemas.openxmlformats.org/package/2006/metadata/core-properties' xmlns:ns1='http://purl.org/dc/elements/1.1/'" w:xpath="/ns0:coreProperties[1]/ns1:title[1]" w:storeItemID="{6C3C8BC8-F283-45AE-878A-BAB7291924A1}"/>
                            <w:text/>
                          </w:sdtPr>
                          <w:sdtContent>
                            <w:p w14:paraId="6FAEFF3B" w14:textId="007D3961" w:rsidR="001437B8" w:rsidRPr="00082991" w:rsidRDefault="001437B8">
                              <w:pPr>
                                <w:spacing w:after="0"/>
                                <w:rPr>
                                  <w:color w:val="32746D"/>
                                  <w:sz w:val="20"/>
                                </w:rPr>
                              </w:pPr>
                              <w:r>
                                <w:rPr>
                                  <w:color w:val="32746D"/>
                                  <w:sz w:val="20"/>
                                </w:rPr>
                                <w:t>Benue State Government</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0A9F821" id="_x0000_t202" coordsize="21600,21600" o:spt="202" path="m,l,21600r21600,l21600,xe">
              <v:stroke joinstyle="miter"/>
              <v:path gradientshapeok="t" o:connecttype="rect"/>
            </v:shapetype>
            <v:shape id="Text Box 218" o:spid="_x0000_s1030" type="#_x0000_t202" style="position:absolute;left:0;text-align:left;margin-left:0;margin-top:0;width:468pt;height:13.45pt;z-index:25167462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wRswIAALc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mlLcEbMCAAC3BQAADgAA&#10;AAAAAAAAAAAAAAAuAgAAZHJzL2Uyb0RvYy54bWxQSwECLQAUAAYACAAAACEAXMz1P9sAAAAEAQAA&#10;DwAAAAAAAAAAAAAAAAANBQAAZHJzL2Rvd25yZXYueG1sUEsFBgAAAAAEAAQA8wAAABUGAAAAAA==&#10;" o:allowincell="f" filled="f" stroked="f">
              <v:textbox style="mso-fit-shape-to-text:t" inset=",0,,0">
                <w:txbxContent>
                  <w:sdt>
                    <w:sdtPr>
                      <w:rPr>
                        <w:color w:val="32746D"/>
                        <w:sz w:val="20"/>
                      </w:rPr>
                      <w:alias w:val="Title"/>
                      <w:id w:val="78679243"/>
                      <w:dataBinding w:prefixMappings="xmlns:ns0='http://schemas.openxmlformats.org/package/2006/metadata/core-properties' xmlns:ns1='http://purl.org/dc/elements/1.1/'" w:xpath="/ns0:coreProperties[1]/ns1:title[1]" w:storeItemID="{6C3C8BC8-F283-45AE-878A-BAB7291924A1}"/>
                      <w:text/>
                    </w:sdtPr>
                    <w:sdtContent>
                      <w:p w14:paraId="6FAEFF3B" w14:textId="007D3961" w:rsidR="001437B8" w:rsidRPr="00082991" w:rsidRDefault="001437B8">
                        <w:pPr>
                          <w:spacing w:after="0"/>
                          <w:rPr>
                            <w:color w:val="32746D"/>
                            <w:sz w:val="20"/>
                          </w:rPr>
                        </w:pPr>
                        <w:r>
                          <w:rPr>
                            <w:color w:val="32746D"/>
                            <w:sz w:val="20"/>
                          </w:rPr>
                          <w:t>Benue State Government</w:t>
                        </w:r>
                      </w:p>
                    </w:sdtContent>
                  </w:sdt>
                </w:txbxContent>
              </v:textbox>
              <w10:wrap anchorx="margin" anchory="margin"/>
            </v:shape>
          </w:pict>
        </mc:Fallback>
      </mc:AlternateContent>
    </w:r>
    <w:r>
      <w:rPr>
        <w:noProof/>
        <w:lang w:val="en-US" w:eastAsia="en-US"/>
      </w:rPr>
      <mc:AlternateContent>
        <mc:Choice Requires="wps">
          <w:drawing>
            <wp:anchor distT="0" distB="0" distL="114300" distR="114300" simplePos="0" relativeHeight="251673600" behindDoc="0" locked="0" layoutInCell="0" allowOverlap="1" wp14:anchorId="13AF0FF3" wp14:editId="7C9BAF74">
              <wp:simplePos x="0" y="0"/>
              <wp:positionH relativeFrom="page">
                <wp:align>left</wp:align>
              </wp:positionH>
              <wp:positionV relativeFrom="topMargin">
                <wp:align>center</wp:align>
              </wp:positionV>
              <wp:extent cx="914400" cy="170815"/>
              <wp:effectExtent l="0" t="0" r="3810"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32746D"/>
                      </a:solidFill>
                      <a:ln>
                        <a:noFill/>
                      </a:ln>
                    </wps:spPr>
                    <wps:txbx>
                      <w:txbxContent>
                        <w:p w14:paraId="27826715" w14:textId="7BA6E11C" w:rsidR="001437B8" w:rsidRDefault="001437B8">
                          <w:pPr>
                            <w:spacing w:after="0"/>
                            <w:jc w:val="right"/>
                            <w:rPr>
                              <w:color w:val="FFFFFF" w:themeColor="background1"/>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13AF0FF3" id="Text Box 219" o:spid="_x0000_s1031" type="#_x0000_t202" style="position:absolute;left:0;text-align:left;margin-left:0;margin-top:0;width:1in;height:13.45pt;z-index:251673600;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" o:allowincell="f" fillcolor="#32746d" stroked="f">
              <v:textbox style="mso-fit-shape-to-text:t" inset=",0,,0">
                <w:txbxContent>
                  <w:p w14:paraId="27826715" w14:textId="7BA6E11C" w:rsidR="001437B8" w:rsidRDefault="001437B8">
                    <w:pPr>
                      <w:spacing w:after="0"/>
                      <w:jc w:val="right"/>
                      <w:rPr>
                        <w:color w:val="FFFFFF" w:themeColor="background1"/>
                      </w:rPr>
                    </w:pP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C0286" w14:textId="77777777" w:rsidR="001437B8" w:rsidRDefault="001437B8" w:rsidP="00466B4F">
    <w:pPr>
      <w:pStyle w:val="Header"/>
    </w:pPr>
    <w:r>
      <w:rPr>
        <w:noProof/>
        <w:lang w:val="en-US" w:eastAsia="en-US"/>
      </w:rPr>
      <mc:AlternateContent>
        <mc:Choice Requires="wps">
          <w:drawing>
            <wp:anchor distT="0" distB="0" distL="114300" distR="114300" simplePos="0" relativeHeight="251677696" behindDoc="0" locked="0" layoutInCell="0" allowOverlap="1" wp14:anchorId="65099868" wp14:editId="52F777EB">
              <wp:simplePos x="0" y="0"/>
              <wp:positionH relativeFrom="margin">
                <wp:align>left</wp:align>
              </wp:positionH>
              <wp:positionV relativeFrom="topMargin">
                <wp:align>center</wp:align>
              </wp:positionV>
              <wp:extent cx="5943600" cy="170815"/>
              <wp:effectExtent l="0"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238565955"/>
                            <w:dataBinding w:prefixMappings="xmlns:ns0='http://schemas.openxmlformats.org/package/2006/metadata/core-properties' xmlns:ns1='http://purl.org/dc/elements/1.1/'" w:xpath="/ns0:coreProperties[1]/ns1:title[1]" w:storeItemID="{6C3C8BC8-F283-45AE-878A-BAB7291924A1}"/>
                            <w:text/>
                          </w:sdtPr>
                          <w:sdtContent>
                            <w:p w14:paraId="6D651AC2" w14:textId="5C3A084F" w:rsidR="001437B8" w:rsidRPr="0068061C" w:rsidRDefault="001437B8" w:rsidP="00466B4F">
                              <w:pPr>
                                <w:pStyle w:val="Header"/>
                              </w:pPr>
                              <w:r w:rsidRPr="008B2D3F">
                                <w:t>Benue State Government</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5099868" id="_x0000_t202" coordsize="21600,21600" o:spt="202" path="m,l,21600r21600,l21600,xe">
              <v:stroke joinstyle="miter"/>
              <v:path gradientshapeok="t" o:connecttype="rect"/>
            </v:shapetype>
            <v:shape id="Text Box 1" o:spid="_x0000_s1032" type="#_x0000_t202" style="position:absolute;left:0;text-align:left;margin-left:0;margin-top:0;width:468pt;height:13.45pt;z-index:25167769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e3NIr7MCAAC6BQAADgAA&#10;AAAAAAAAAAAAAAAuAgAAZHJzL2Uyb0RvYy54bWxQSwECLQAUAAYACAAAACEAXMz1P9sAAAAEAQAA&#10;DwAAAAAAAAAAAAAAAAANBQAAZHJzL2Rvd25yZXYueG1sUEsFBgAAAAAEAAQA8wAAABUGAAAAAA==&#10;" o:allowincell="f" filled="f" stroked="f">
              <v:textbox style="mso-fit-shape-to-text:t" inset=",0,,0">
                <w:txbxContent>
                  <w:sdt>
                    <w:sdtPr>
                      <w:alias w:val="Title"/>
                      <w:id w:val="-238565955"/>
                      <w:dataBinding w:prefixMappings="xmlns:ns0='http://schemas.openxmlformats.org/package/2006/metadata/core-properties' xmlns:ns1='http://purl.org/dc/elements/1.1/'" w:xpath="/ns0:coreProperties[1]/ns1:title[1]" w:storeItemID="{6C3C8BC8-F283-45AE-878A-BAB7291924A1}"/>
                      <w:text/>
                    </w:sdtPr>
                    <w:sdtContent>
                      <w:p w14:paraId="6D651AC2" w14:textId="5C3A084F" w:rsidR="001437B8" w:rsidRPr="0068061C" w:rsidRDefault="001437B8" w:rsidP="00466B4F">
                        <w:pPr>
                          <w:pStyle w:val="Header"/>
                        </w:pPr>
                        <w:r w:rsidRPr="008B2D3F">
                          <w:t>Benue State Government</w:t>
                        </w:r>
                      </w:p>
                    </w:sdtContent>
                  </w:sdt>
                </w:txbxContent>
              </v:textbox>
              <w10:wrap anchorx="margin" anchory="margin"/>
            </v:shape>
          </w:pict>
        </mc:Fallback>
      </mc:AlternateContent>
    </w:r>
    <w:r>
      <w:rPr>
        <w:noProof/>
        <w:lang w:val="en-US" w:eastAsia="en-US"/>
      </w:rPr>
      <mc:AlternateContent>
        <mc:Choice Requires="wps">
          <w:drawing>
            <wp:anchor distT="0" distB="0" distL="114300" distR="114300" simplePos="0" relativeHeight="251676672" behindDoc="0" locked="0" layoutInCell="0" allowOverlap="1" wp14:anchorId="02EC1FD0" wp14:editId="0DA20D28">
              <wp:simplePos x="0" y="0"/>
              <wp:positionH relativeFrom="page">
                <wp:align>left</wp:align>
              </wp:positionH>
              <wp:positionV relativeFrom="topMargin">
                <wp:align>center</wp:align>
              </wp:positionV>
              <wp:extent cx="914400" cy="170815"/>
              <wp:effectExtent l="0" t="0" r="381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lumMod val="75000"/>
                          <a:lumOff val="25000"/>
                        </a:schemeClr>
                      </a:solidFill>
                      <a:ln>
                        <a:noFill/>
                      </a:ln>
                    </wps:spPr>
                    <wps:txbx>
                      <w:txbxContent>
                        <w:p w14:paraId="26727BC0" w14:textId="77777777" w:rsidR="001437B8" w:rsidRDefault="001437B8">
                          <w:pPr>
                            <w:spacing w:after="0"/>
                            <w:jc w:val="right"/>
                            <w:rPr>
                              <w:color w:val="FFFFFF" w:themeColor="background1"/>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02EC1FD0" id="Text Box 2" o:spid="_x0000_s1033" type="#_x0000_t202" style="position:absolute;left:0;text-align:left;margin-left:0;margin-top:0;width:1in;height:13.45pt;z-index:25167667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" o:allowincell="f" fillcolor="#404040 [2429]" stroked="f">
              <v:textbox style="mso-fit-shape-to-text:t" inset=",0,,0">
                <w:txbxContent>
                  <w:p w14:paraId="26727BC0" w14:textId="77777777" w:rsidR="001437B8" w:rsidRDefault="001437B8">
                    <w:pPr>
                      <w:spacing w:after="0"/>
                      <w:jc w:val="right"/>
                      <w:rPr>
                        <w:color w:val="FFFFFF" w:themeColor="background1"/>
                      </w:rPr>
                    </w:pP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1EE2"/>
    <w:multiLevelType w:val="multilevel"/>
    <w:tmpl w:val="2CB819AA"/>
    <w:lvl w:ilvl="0">
      <w:start w:val="1"/>
      <w:numFmt w:val="decimal"/>
      <w:pStyle w:val="NumberedParagraph"/>
      <w:lvlText w:val="%1."/>
      <w:lvlJc w:val="left"/>
      <w:pPr>
        <w:ind w:left="567" w:hanging="567"/>
      </w:pPr>
      <w:rPr>
        <w:rFonts w:asciiTheme="minorHAnsi" w:hAnsiTheme="minorHAnsi" w:cstheme="minorHAnsi" w:hint="default"/>
        <w:b w:val="0"/>
        <w:i w:val="0"/>
        <w:caps w:val="0"/>
        <w:strike w:val="0"/>
        <w:vanish w:val="0"/>
        <w:color w:val="000000"/>
        <w:sz w:val="22"/>
        <w:szCs w:val="22"/>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E10A0F"/>
    <w:multiLevelType w:val="multilevel"/>
    <w:tmpl w:val="6988135C"/>
    <w:styleLink w:val="IndentedNumberWorldBank"/>
    <w:lvl w:ilvl="0">
      <w:start w:val="1"/>
      <w:numFmt w:val="lowerRoman"/>
      <w:lvlText w:val="%1)"/>
      <w:lvlJc w:val="left"/>
      <w:pPr>
        <w:tabs>
          <w:tab w:val="num" w:pos="567"/>
        </w:tabs>
        <w:ind w:left="1134" w:hanging="567"/>
      </w:pPr>
      <w:rPr>
        <w:rFonts w:ascii="Tahoma" w:hAnsi="Tahoma" w:hint="default"/>
        <w:sz w:val="20"/>
      </w:rPr>
    </w:lvl>
    <w:lvl w:ilvl="1">
      <w:start w:val="1"/>
      <w:numFmt w:val="lowerLetter"/>
      <w:lvlText w:val="%2)"/>
      <w:lvlJc w:val="left"/>
      <w:pPr>
        <w:ind w:left="1559" w:hanging="425"/>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7A122B"/>
    <w:multiLevelType w:val="multilevel"/>
    <w:tmpl w:val="C0121D20"/>
    <w:styleLink w:val="USPList"/>
    <w:lvl w:ilvl="0">
      <w:start w:val="1"/>
      <w:numFmt w:val="decimal"/>
      <w:pStyle w:val="USP"/>
      <w:lvlText w:val="USP %1"/>
      <w:lvlJc w:val="left"/>
      <w:pPr>
        <w:ind w:left="1701" w:hanging="1134"/>
      </w:pPr>
      <w:rPr>
        <w:rFonts w:ascii="Tahoma" w:hAnsi="Tahoma" w:hint="default"/>
        <w:b/>
        <w:i/>
        <w:sz w:val="20"/>
      </w:rPr>
    </w:lvl>
    <w:lvl w:ilvl="1">
      <w:start w:val="1"/>
      <w:numFmt w:val="none"/>
      <w:lvlRestart w:val="0"/>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936E26"/>
    <w:multiLevelType w:val="multilevel"/>
    <w:tmpl w:val="E56881BC"/>
    <w:lvl w:ilvl="0">
      <w:start w:val="1"/>
      <w:numFmt w:val="lowerRoman"/>
      <w:pStyle w:val="ListNumber"/>
      <w:lvlText w:val="%1."/>
      <w:lvlJc w:val="left"/>
      <w:pPr>
        <w:tabs>
          <w:tab w:val="num" w:pos="567"/>
        </w:tabs>
        <w:ind w:left="1134" w:hanging="567"/>
      </w:pPr>
      <w:rPr>
        <w:rFonts w:ascii="Tahoma" w:hAnsi="Tahoma" w:hint="default"/>
        <w:sz w:val="20"/>
      </w:rPr>
    </w:lvl>
    <w:lvl w:ilvl="1">
      <w:start w:val="1"/>
      <w:numFmt w:val="lowerLetter"/>
      <w:lvlText w:val="%2)"/>
      <w:lvlJc w:val="left"/>
      <w:pPr>
        <w:ind w:left="1559" w:hanging="425"/>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9C2C6C"/>
    <w:multiLevelType w:val="multilevel"/>
    <w:tmpl w:val="EF2C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7065D"/>
    <w:multiLevelType w:val="multilevel"/>
    <w:tmpl w:val="48287B3A"/>
    <w:lvl w:ilvl="0">
      <w:start w:val="1"/>
      <w:numFmt w:val="bullet"/>
      <w:lvlText w:val=""/>
      <w:lvlJc w:val="left"/>
      <w:pPr>
        <w:ind w:left="927" w:hanging="360"/>
      </w:pPr>
      <w:rPr>
        <w:rFonts w:ascii="Symbol" w:hAnsi="Symbol" w:hint="default"/>
        <w:b w:val="0"/>
        <w:i w:val="0"/>
        <w:caps w:val="0"/>
        <w:strike w:val="0"/>
        <w:vanish w:val="0"/>
        <w:color w:val="000000"/>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701" w:hanging="567"/>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 w15:restartNumberingAfterBreak="0">
    <w:nsid w:val="20B0470B"/>
    <w:multiLevelType w:val="multilevel"/>
    <w:tmpl w:val="AFC6B012"/>
    <w:styleLink w:val="KeyIssues"/>
    <w:lvl w:ilvl="0">
      <w:start w:val="1"/>
      <w:numFmt w:val="decimal"/>
      <w:lvlText w:val="Key Issue %1"/>
      <w:lvlJc w:val="left"/>
      <w:pPr>
        <w:tabs>
          <w:tab w:val="num" w:pos="567"/>
        </w:tabs>
        <w:ind w:left="2835" w:hanging="2268"/>
      </w:pPr>
      <w:rPr>
        <w:rFonts w:ascii="Tahoma" w:hAnsi="Tahoma" w:hint="default"/>
        <w:b/>
        <w:i/>
        <w:sz w:val="20"/>
      </w:rPr>
    </w:lvl>
    <w:lvl w:ilvl="1">
      <w:start w:val="1"/>
      <w:numFmt w:val="none"/>
      <w:lvlRestart w:val="0"/>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8AF04DA"/>
    <w:multiLevelType w:val="multilevel"/>
    <w:tmpl w:val="F66C3CD2"/>
    <w:lvl w:ilvl="0">
      <w:start w:val="1"/>
      <w:numFmt w:val="bullet"/>
      <w:lvlText w:val=""/>
      <w:lvlJc w:val="left"/>
      <w:pPr>
        <w:ind w:left="927" w:hanging="360"/>
      </w:pPr>
      <w:rPr>
        <w:rFonts w:ascii="Symbol" w:hAnsi="Symbol" w:hint="default"/>
        <w:b w:val="0"/>
        <w:i w:val="0"/>
        <w:caps w:val="0"/>
        <w:strike w:val="0"/>
        <w:vanish w:val="0"/>
        <w:color w:val="000000"/>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701" w:hanging="567"/>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8" w15:restartNumberingAfterBreak="0">
    <w:nsid w:val="302E2176"/>
    <w:multiLevelType w:val="multilevel"/>
    <w:tmpl w:val="16AAC884"/>
    <w:lvl w:ilvl="0">
      <w:start w:val="1"/>
      <w:numFmt w:val="decimal"/>
      <w:pStyle w:val="Heading1"/>
      <w:lvlText w:val="%1"/>
      <w:lvlJc w:val="left"/>
      <w:pPr>
        <w:ind w:left="432" w:hanging="432"/>
      </w:pPr>
      <w:rPr>
        <w:rFonts w:hint="default"/>
      </w:rPr>
    </w:lvl>
    <w:lvl w:ilvl="1">
      <w:start w:val="1"/>
      <w:numFmt w:val="upperLetter"/>
      <w:pStyle w:val="Heading2"/>
      <w:lvlText w:val="%1.%2"/>
      <w:lvlJc w:val="left"/>
      <w:pPr>
        <w:ind w:left="1852" w:hanging="576"/>
      </w:pPr>
      <w:rPr>
        <w:rFonts w:hint="default"/>
      </w:rPr>
    </w:lvl>
    <w:lvl w:ilvl="2">
      <w:start w:val="1"/>
      <w:numFmt w:val="decimal"/>
      <w:pStyle w:val="Heading3"/>
      <w:lvlText w:val="%1.%2.%3"/>
      <w:lvlJc w:val="left"/>
      <w:pPr>
        <w:ind w:left="1429"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320245E7"/>
    <w:multiLevelType w:val="hybridMultilevel"/>
    <w:tmpl w:val="AD2C1A1E"/>
    <w:lvl w:ilvl="0" w:tplc="75548112">
      <w:start w:val="1"/>
      <w:numFmt w:val="bullet"/>
      <w:pStyle w:val="ListBullet"/>
      <w:lvlText w:val=""/>
      <w:lvlJc w:val="left"/>
      <w:pPr>
        <w:ind w:left="1146" w:hanging="360"/>
      </w:pPr>
      <w:rPr>
        <w:rFonts w:ascii="Wingdings" w:hAnsi="Wingdings" w:hint="default"/>
        <w:color w:val="404040" w:themeColor="text1" w:themeTint="BF"/>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337604B0"/>
    <w:multiLevelType w:val="multilevel"/>
    <w:tmpl w:val="611AAAD8"/>
    <w:styleLink w:val="Recommnendation"/>
    <w:lvl w:ilvl="0">
      <w:start w:val="1"/>
      <w:numFmt w:val="decimal"/>
      <w:pStyle w:val="Recommendation"/>
      <w:lvlText w:val="Recommendation %1"/>
      <w:lvlJc w:val="left"/>
      <w:pPr>
        <w:ind w:left="2268" w:hanging="1701"/>
      </w:pPr>
      <w:rPr>
        <w:rFonts w:ascii="Tahoma" w:hAnsi="Tahoma" w:hint="default"/>
        <w:b/>
        <w:i/>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8D2142D"/>
    <w:multiLevelType w:val="multilevel"/>
    <w:tmpl w:val="F8B6EDA0"/>
    <w:lvl w:ilvl="0">
      <w:start w:val="1"/>
      <w:numFmt w:val="bullet"/>
      <w:lvlText w:val=""/>
      <w:lvlJc w:val="left"/>
      <w:pPr>
        <w:ind w:left="927" w:hanging="360"/>
      </w:pPr>
      <w:rPr>
        <w:rFonts w:ascii="Symbol" w:hAnsi="Symbol" w:hint="default"/>
        <w:b w:val="0"/>
        <w:i w:val="0"/>
        <w:caps w:val="0"/>
        <w:strike w:val="0"/>
        <w:vanish w:val="0"/>
        <w:color w:val="000000"/>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701" w:hanging="567"/>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2" w15:restartNumberingAfterBreak="0">
    <w:nsid w:val="44B35070"/>
    <w:multiLevelType w:val="singleLevel"/>
    <w:tmpl w:val="5FBE6CDA"/>
    <w:lvl w:ilvl="0">
      <w:start w:val="1"/>
      <w:numFmt w:val="bullet"/>
      <w:pStyle w:val="ListBullet3"/>
      <w:lvlText w:val=""/>
      <w:lvlJc w:val="left"/>
      <w:pPr>
        <w:ind w:left="927" w:hanging="360"/>
      </w:pPr>
      <w:rPr>
        <w:rFonts w:ascii="Wingdings" w:hAnsi="Wingdings" w:hint="default"/>
        <w:color w:val="32746D"/>
        <w:sz w:val="24"/>
      </w:rPr>
    </w:lvl>
  </w:abstractNum>
  <w:abstractNum w:abstractNumId="13" w15:restartNumberingAfterBreak="0">
    <w:nsid w:val="4B280A8D"/>
    <w:multiLevelType w:val="hybridMultilevel"/>
    <w:tmpl w:val="FF96A630"/>
    <w:lvl w:ilvl="0" w:tplc="8CD8D4FA">
      <w:start w:val="1"/>
      <w:numFmt w:val="upperRoman"/>
      <w:pStyle w:val="Subtitle"/>
      <w:lvlText w:val="%1."/>
      <w:lvlJc w:val="left"/>
      <w:pPr>
        <w:tabs>
          <w:tab w:val="num" w:pos="720"/>
        </w:tabs>
      </w:pPr>
      <w:rPr>
        <w:rFonts w:ascii="Arial" w:hAnsi="Arial" w:cs="Times New Roman" w:hint="default"/>
        <w:b/>
        <w:i w:val="0"/>
        <w:caps/>
        <w:sz w:val="22"/>
        <w:szCs w:val="22"/>
      </w:rPr>
    </w:lvl>
    <w:lvl w:ilvl="1" w:tplc="08090003">
      <w:start w:val="1"/>
      <w:numFmt w:val="lowerRoman"/>
      <w:lvlText w:val="(%2)"/>
      <w:lvlJc w:val="left"/>
      <w:pPr>
        <w:tabs>
          <w:tab w:val="num" w:pos="1440"/>
        </w:tabs>
        <w:ind w:left="720"/>
      </w:pPr>
      <w:rPr>
        <w:rFonts w:ascii="Arial" w:hAnsi="Arial" w:cs="Times New Roman" w:hint="default"/>
        <w:b w:val="0"/>
        <w:i w:val="0"/>
        <w:caps w:val="0"/>
        <w:sz w:val="22"/>
        <w:szCs w:val="22"/>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4" w15:restartNumberingAfterBreak="0">
    <w:nsid w:val="4CCF6C4E"/>
    <w:multiLevelType w:val="multilevel"/>
    <w:tmpl w:val="069AADAE"/>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1.%2"/>
      <w:lvlJc w:val="left"/>
      <w:pPr>
        <w:ind w:left="1134"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134"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pStyle w:val="Annex"/>
      <w:isLgl/>
      <w:lvlText w:val="Annex %4"/>
      <w:lvlJc w:val="left"/>
      <w:pPr>
        <w:ind w:left="1701" w:hanging="170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080" w:hanging="1080"/>
      </w:pPr>
      <w:rPr>
        <w:rFonts w:cs="Courier New" w:hint="default"/>
      </w:rPr>
    </w:lvl>
    <w:lvl w:ilvl="5">
      <w:start w:val="1"/>
      <w:numFmt w:val="decimal"/>
      <w:isLgl/>
      <w:lvlText w:val="%1.%2.%3.%4.%5.%6"/>
      <w:lvlJc w:val="left"/>
      <w:pPr>
        <w:ind w:left="1080" w:hanging="1080"/>
      </w:pPr>
      <w:rPr>
        <w:rFonts w:cs="Courier New" w:hint="default"/>
      </w:rPr>
    </w:lvl>
    <w:lvl w:ilvl="6">
      <w:start w:val="1"/>
      <w:numFmt w:val="decimal"/>
      <w:isLgl/>
      <w:lvlText w:val="%1.%2.%3.%4.%5.%6.%7"/>
      <w:lvlJc w:val="left"/>
      <w:pPr>
        <w:ind w:left="1440" w:hanging="1440"/>
      </w:pPr>
      <w:rPr>
        <w:rFonts w:cs="Courier New" w:hint="default"/>
      </w:rPr>
    </w:lvl>
    <w:lvl w:ilvl="7">
      <w:start w:val="1"/>
      <w:numFmt w:val="decimal"/>
      <w:isLgl/>
      <w:lvlText w:val="%1.%2.%3.%4.%5.%6.%7.%8"/>
      <w:lvlJc w:val="left"/>
      <w:pPr>
        <w:ind w:left="1440" w:hanging="1440"/>
      </w:pPr>
      <w:rPr>
        <w:rFonts w:cs="Courier New" w:hint="default"/>
      </w:rPr>
    </w:lvl>
    <w:lvl w:ilvl="8">
      <w:start w:val="1"/>
      <w:numFmt w:val="decimal"/>
      <w:isLgl/>
      <w:lvlText w:val="%1.%2.%3.%4.%5.%6.%7.%8.%9"/>
      <w:lvlJc w:val="left"/>
      <w:pPr>
        <w:ind w:left="1800" w:hanging="1800"/>
      </w:pPr>
      <w:rPr>
        <w:rFonts w:cs="Courier New" w:hint="default"/>
      </w:rPr>
    </w:lvl>
  </w:abstractNum>
  <w:abstractNum w:abstractNumId="15" w15:restartNumberingAfterBreak="0">
    <w:nsid w:val="5102082A"/>
    <w:multiLevelType w:val="hybridMultilevel"/>
    <w:tmpl w:val="F62C828A"/>
    <w:lvl w:ilvl="0" w:tplc="5F06C8D0">
      <w:start w:val="1"/>
      <w:numFmt w:val="lowerLetter"/>
      <w:pStyle w:val="Doubleindentedlist"/>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15:restartNumberingAfterBreak="0">
    <w:nsid w:val="545D34E7"/>
    <w:multiLevelType w:val="multilevel"/>
    <w:tmpl w:val="545D34E7"/>
    <w:lvl w:ilvl="0">
      <w:start w:val="1"/>
      <w:numFmt w:val="bullet"/>
      <w:pStyle w:val="Bullet"/>
      <w:lvlText w:val=""/>
      <w:lvlJc w:val="left"/>
      <w:pPr>
        <w:tabs>
          <w:tab w:val="left" w:pos="1134"/>
        </w:tabs>
        <w:ind w:left="1134" w:hanging="567"/>
      </w:pPr>
      <w:rPr>
        <w:rFonts w:ascii="Symbol" w:hAnsi="Symbol" w:hint="default"/>
        <w:color w:val="758453"/>
        <w:sz w:val="2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7" w15:restartNumberingAfterBreak="0">
    <w:nsid w:val="57D26B22"/>
    <w:multiLevelType w:val="multilevel"/>
    <w:tmpl w:val="57D26B22"/>
    <w:lvl w:ilvl="0">
      <w:start w:val="1"/>
      <w:numFmt w:val="decimal"/>
      <w:pStyle w:val="NumberedPara"/>
      <w:lvlText w:val="%1."/>
      <w:lvlJc w:val="left"/>
      <w:pPr>
        <w:tabs>
          <w:tab w:val="left" w:pos="1107"/>
        </w:tabs>
        <w:ind w:left="1107" w:hanging="567"/>
      </w:pPr>
      <w:rPr>
        <w:rFonts w:ascii="Tahoma" w:hAnsi="Tahoma" w:hint="default"/>
        <w:b w:val="0"/>
        <w:i w:val="0"/>
        <w:color w:val="000000" w:themeColor="text1"/>
        <w:sz w:val="20"/>
      </w:rPr>
    </w:lvl>
    <w:lvl w:ilvl="1">
      <w:start w:val="1"/>
      <w:numFmt w:val="lowerLetter"/>
      <w:lvlText w:val="%2."/>
      <w:lvlJc w:val="left"/>
      <w:pPr>
        <w:tabs>
          <w:tab w:val="left" w:pos="2160"/>
        </w:tabs>
        <w:ind w:left="2160" w:hanging="360"/>
      </w:pPr>
    </w:lvl>
    <w:lvl w:ilvl="2">
      <w:start w:val="1"/>
      <w:numFmt w:val="lowerRoman"/>
      <w:lvlText w:val="%3."/>
      <w:lvlJc w:val="right"/>
      <w:pPr>
        <w:tabs>
          <w:tab w:val="left" w:pos="2880"/>
        </w:tabs>
        <w:ind w:left="2880" w:hanging="180"/>
      </w:pPr>
    </w:lvl>
    <w:lvl w:ilvl="3">
      <w:start w:val="1"/>
      <w:numFmt w:val="decimal"/>
      <w:lvlText w:val="%4."/>
      <w:lvlJc w:val="left"/>
      <w:pPr>
        <w:tabs>
          <w:tab w:val="left" w:pos="3600"/>
        </w:tabs>
        <w:ind w:left="3600" w:hanging="360"/>
      </w:pPr>
    </w:lvl>
    <w:lvl w:ilvl="4">
      <w:start w:val="1"/>
      <w:numFmt w:val="lowerLetter"/>
      <w:lvlText w:val="%5."/>
      <w:lvlJc w:val="left"/>
      <w:pPr>
        <w:tabs>
          <w:tab w:val="left" w:pos="4320"/>
        </w:tabs>
        <w:ind w:left="4320" w:hanging="360"/>
      </w:pPr>
    </w:lvl>
    <w:lvl w:ilvl="5">
      <w:start w:val="1"/>
      <w:numFmt w:val="lowerRoman"/>
      <w:lvlText w:val="%6."/>
      <w:lvlJc w:val="right"/>
      <w:pPr>
        <w:tabs>
          <w:tab w:val="left" w:pos="5040"/>
        </w:tabs>
        <w:ind w:left="5040" w:hanging="180"/>
      </w:pPr>
    </w:lvl>
    <w:lvl w:ilvl="6">
      <w:start w:val="1"/>
      <w:numFmt w:val="decimal"/>
      <w:lvlText w:val="%7."/>
      <w:lvlJc w:val="left"/>
      <w:pPr>
        <w:tabs>
          <w:tab w:val="left" w:pos="5760"/>
        </w:tabs>
        <w:ind w:left="5760" w:hanging="360"/>
      </w:pPr>
    </w:lvl>
    <w:lvl w:ilvl="7">
      <w:start w:val="1"/>
      <w:numFmt w:val="lowerLetter"/>
      <w:lvlText w:val="%8."/>
      <w:lvlJc w:val="left"/>
      <w:pPr>
        <w:tabs>
          <w:tab w:val="left" w:pos="6480"/>
        </w:tabs>
        <w:ind w:left="6480" w:hanging="360"/>
      </w:pPr>
    </w:lvl>
    <w:lvl w:ilvl="8">
      <w:start w:val="1"/>
      <w:numFmt w:val="lowerRoman"/>
      <w:lvlText w:val="%9."/>
      <w:lvlJc w:val="right"/>
      <w:pPr>
        <w:tabs>
          <w:tab w:val="left" w:pos="7200"/>
        </w:tabs>
        <w:ind w:left="7200" w:hanging="180"/>
      </w:pPr>
    </w:lvl>
  </w:abstractNum>
  <w:abstractNum w:abstractNumId="18" w15:restartNumberingAfterBreak="0">
    <w:nsid w:val="597A605F"/>
    <w:multiLevelType w:val="multilevel"/>
    <w:tmpl w:val="98E89A5C"/>
    <w:lvl w:ilvl="0">
      <w:start w:val="1"/>
      <w:numFmt w:val="decimal"/>
      <w:pStyle w:val="KeyIssue"/>
      <w:lvlText w:val="Key Issue %1"/>
      <w:lvlJc w:val="left"/>
      <w:pPr>
        <w:ind w:left="2268" w:hanging="1701"/>
      </w:pPr>
      <w:rPr>
        <w:rFonts w:ascii="Tahoma" w:hAnsi="Tahoma" w:hint="default"/>
        <w:b/>
        <w:i/>
        <w:sz w:val="20"/>
      </w:rPr>
    </w:lvl>
    <w:lvl w:ilvl="1">
      <w:start w:val="1"/>
      <w:numFmt w:val="none"/>
      <w:lvlRestart w:val="0"/>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24F3359"/>
    <w:multiLevelType w:val="hybridMultilevel"/>
    <w:tmpl w:val="03C4C1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D21505A"/>
    <w:multiLevelType w:val="hybridMultilevel"/>
    <w:tmpl w:val="070EFB36"/>
    <w:lvl w:ilvl="0" w:tplc="141E365C">
      <w:start w:val="1"/>
      <w:numFmt w:val="bullet"/>
      <w:pStyle w:val="ListBullet2"/>
      <w:lvlText w:val="o"/>
      <w:lvlJc w:val="left"/>
      <w:pPr>
        <w:ind w:left="185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1" w15:restartNumberingAfterBreak="0">
    <w:nsid w:val="70A00913"/>
    <w:multiLevelType w:val="multilevel"/>
    <w:tmpl w:val="CCE050BE"/>
    <w:styleLink w:val="ListBulletsWorldBankADB"/>
    <w:lvl w:ilvl="0">
      <w:start w:val="1"/>
      <w:numFmt w:val="bullet"/>
      <w:lvlRestart w:val="0"/>
      <w:lvlText w:val=""/>
      <w:lvlJc w:val="left"/>
      <w:pPr>
        <w:ind w:left="1134" w:hanging="567"/>
      </w:pPr>
      <w:rPr>
        <w:rFonts w:ascii="Wingdings" w:hAnsi="Wingdings" w:hint="default"/>
        <w:color w:val="9DBCB0"/>
        <w:sz w:val="24"/>
      </w:rPr>
    </w:lvl>
    <w:lvl w:ilvl="1">
      <w:start w:val="1"/>
      <w:numFmt w:val="bullet"/>
      <w:lvlText w:val=""/>
      <w:lvlJc w:val="left"/>
      <w:pPr>
        <w:tabs>
          <w:tab w:val="num" w:pos="1134"/>
        </w:tabs>
        <w:ind w:left="1559" w:hanging="425"/>
      </w:pPr>
      <w:rPr>
        <w:rFonts w:ascii="Wingdings" w:hAnsi="Wingdings" w:cs="Times New Roman" w:hint="default"/>
        <w:b w:val="0"/>
        <w:bCs w:val="0"/>
        <w:i w:val="0"/>
        <w:iCs w:val="0"/>
        <w:caps w:val="0"/>
        <w:smallCaps w:val="0"/>
        <w:strike w:val="0"/>
        <w:dstrike w:val="0"/>
        <w:noProof w:val="0"/>
        <w:snapToGrid w:val="0"/>
        <w:vanish w:val="0"/>
        <w:color w:val="00B0F0"/>
        <w:spacing w:val="0"/>
        <w:w w:val="0"/>
        <w:kern w:val="0"/>
        <w:position w:val="0"/>
        <w:sz w:val="24"/>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1985" w:hanging="426"/>
      </w:pPr>
      <w:rPr>
        <w:rFonts w:ascii="Wingdings" w:hAnsi="Wingdings" w:hint="default"/>
        <w:color w:val="9DBCB0"/>
        <w:sz w:val="24"/>
      </w:rPr>
    </w:lvl>
    <w:lvl w:ilvl="3">
      <w:start w:val="1"/>
      <w:numFmt w:val="none"/>
      <w:lvlText w:val=""/>
      <w:lvlJc w:val="left"/>
      <w:pPr>
        <w:ind w:left="2268"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22" w15:restartNumberingAfterBreak="0">
    <w:nsid w:val="74786180"/>
    <w:multiLevelType w:val="multilevel"/>
    <w:tmpl w:val="627A5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734DE6"/>
    <w:multiLevelType w:val="multilevel"/>
    <w:tmpl w:val="60C8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1"/>
  </w:num>
  <w:num w:numId="3">
    <w:abstractNumId w:val="14"/>
  </w:num>
  <w:num w:numId="4">
    <w:abstractNumId w:val="1"/>
  </w:num>
  <w:num w:numId="5">
    <w:abstractNumId w:val="6"/>
  </w:num>
  <w:num w:numId="6">
    <w:abstractNumId w:val="10"/>
  </w:num>
  <w:num w:numId="7">
    <w:abstractNumId w:val="2"/>
  </w:num>
  <w:num w:numId="8">
    <w:abstractNumId w:val="3"/>
  </w:num>
  <w:num w:numId="9">
    <w:abstractNumId w:val="12"/>
  </w:num>
  <w:num w:numId="10">
    <w:abstractNumId w:val="0"/>
  </w:num>
  <w:num w:numId="11">
    <w:abstractNumId w:val="10"/>
  </w:num>
  <w:num w:numId="12">
    <w:abstractNumId w:val="2"/>
  </w:num>
  <w:num w:numId="13">
    <w:abstractNumId w:val="18"/>
  </w:num>
  <w:num w:numId="14">
    <w:abstractNumId w:val="20"/>
  </w:num>
  <w:num w:numId="15">
    <w:abstractNumId w:val="8"/>
  </w:num>
  <w:num w:numId="16">
    <w:abstractNumId w:val="9"/>
  </w:num>
  <w:num w:numId="17">
    <w:abstractNumId w:val="15"/>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1"/>
  </w:num>
  <w:num w:numId="21">
    <w:abstractNumId w:val="5"/>
  </w:num>
  <w:num w:numId="22">
    <w:abstractNumId w:val="17"/>
  </w:num>
  <w:num w:numId="23">
    <w:abstractNumId w:val="16"/>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23"/>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1BF"/>
    <w:rsid w:val="0000358A"/>
    <w:rsid w:val="00005D33"/>
    <w:rsid w:val="00005D64"/>
    <w:rsid w:val="000060E6"/>
    <w:rsid w:val="00011307"/>
    <w:rsid w:val="00011FF2"/>
    <w:rsid w:val="00017CCA"/>
    <w:rsid w:val="000206A1"/>
    <w:rsid w:val="000417BC"/>
    <w:rsid w:val="00044C32"/>
    <w:rsid w:val="0004667F"/>
    <w:rsid w:val="0005159B"/>
    <w:rsid w:val="00051F5F"/>
    <w:rsid w:val="0005209C"/>
    <w:rsid w:val="00054FB7"/>
    <w:rsid w:val="000604DF"/>
    <w:rsid w:val="000616CF"/>
    <w:rsid w:val="00066B58"/>
    <w:rsid w:val="00067D8A"/>
    <w:rsid w:val="00070D80"/>
    <w:rsid w:val="00072292"/>
    <w:rsid w:val="00075C8F"/>
    <w:rsid w:val="0007737F"/>
    <w:rsid w:val="000775C0"/>
    <w:rsid w:val="00081ACC"/>
    <w:rsid w:val="00082991"/>
    <w:rsid w:val="000874E9"/>
    <w:rsid w:val="00090FB2"/>
    <w:rsid w:val="00091C66"/>
    <w:rsid w:val="00093F8F"/>
    <w:rsid w:val="00093FDF"/>
    <w:rsid w:val="000A0EE1"/>
    <w:rsid w:val="000A1088"/>
    <w:rsid w:val="000A2C49"/>
    <w:rsid w:val="000B38F0"/>
    <w:rsid w:val="000B6076"/>
    <w:rsid w:val="000C16E1"/>
    <w:rsid w:val="000C38E9"/>
    <w:rsid w:val="000C5312"/>
    <w:rsid w:val="000C5416"/>
    <w:rsid w:val="000E16D4"/>
    <w:rsid w:val="000E541E"/>
    <w:rsid w:val="000E5C29"/>
    <w:rsid w:val="000E753A"/>
    <w:rsid w:val="000F0C24"/>
    <w:rsid w:val="000F3356"/>
    <w:rsid w:val="0010078D"/>
    <w:rsid w:val="0010744C"/>
    <w:rsid w:val="00107701"/>
    <w:rsid w:val="00112E72"/>
    <w:rsid w:val="00116691"/>
    <w:rsid w:val="00120369"/>
    <w:rsid w:val="00132CB5"/>
    <w:rsid w:val="00134E00"/>
    <w:rsid w:val="00143135"/>
    <w:rsid w:val="001437B8"/>
    <w:rsid w:val="00144001"/>
    <w:rsid w:val="001443FF"/>
    <w:rsid w:val="0014534C"/>
    <w:rsid w:val="0014709A"/>
    <w:rsid w:val="0015193F"/>
    <w:rsid w:val="00151F13"/>
    <w:rsid w:val="00152C9E"/>
    <w:rsid w:val="0015476E"/>
    <w:rsid w:val="00155504"/>
    <w:rsid w:val="001565C6"/>
    <w:rsid w:val="001615ED"/>
    <w:rsid w:val="00161C7C"/>
    <w:rsid w:val="00167984"/>
    <w:rsid w:val="0017013D"/>
    <w:rsid w:val="001726D1"/>
    <w:rsid w:val="00173F6C"/>
    <w:rsid w:val="00174F62"/>
    <w:rsid w:val="00175078"/>
    <w:rsid w:val="00176554"/>
    <w:rsid w:val="00180FF4"/>
    <w:rsid w:val="00181A5E"/>
    <w:rsid w:val="00183025"/>
    <w:rsid w:val="001858B4"/>
    <w:rsid w:val="00193D93"/>
    <w:rsid w:val="00194D69"/>
    <w:rsid w:val="00195394"/>
    <w:rsid w:val="00196D74"/>
    <w:rsid w:val="00197539"/>
    <w:rsid w:val="001A434D"/>
    <w:rsid w:val="001A4451"/>
    <w:rsid w:val="001A4A4E"/>
    <w:rsid w:val="001A6671"/>
    <w:rsid w:val="001B2A6B"/>
    <w:rsid w:val="001B2C28"/>
    <w:rsid w:val="001B2D1E"/>
    <w:rsid w:val="001C09B0"/>
    <w:rsid w:val="001C16E7"/>
    <w:rsid w:val="001C1C16"/>
    <w:rsid w:val="001C4E51"/>
    <w:rsid w:val="001C6D9B"/>
    <w:rsid w:val="001C74CB"/>
    <w:rsid w:val="001C7BED"/>
    <w:rsid w:val="001D5111"/>
    <w:rsid w:val="001D796C"/>
    <w:rsid w:val="001E01B4"/>
    <w:rsid w:val="001F6911"/>
    <w:rsid w:val="002017B4"/>
    <w:rsid w:val="00205043"/>
    <w:rsid w:val="002065F1"/>
    <w:rsid w:val="00206D33"/>
    <w:rsid w:val="00207CD0"/>
    <w:rsid w:val="002121AC"/>
    <w:rsid w:val="0022067A"/>
    <w:rsid w:val="00231A21"/>
    <w:rsid w:val="00234C36"/>
    <w:rsid w:val="0023764F"/>
    <w:rsid w:val="00241A92"/>
    <w:rsid w:val="00243D03"/>
    <w:rsid w:val="0024602F"/>
    <w:rsid w:val="00250547"/>
    <w:rsid w:val="00251A07"/>
    <w:rsid w:val="002550F5"/>
    <w:rsid w:val="00256D30"/>
    <w:rsid w:val="002743DF"/>
    <w:rsid w:val="00276A81"/>
    <w:rsid w:val="00284226"/>
    <w:rsid w:val="0029170C"/>
    <w:rsid w:val="00291981"/>
    <w:rsid w:val="0029667D"/>
    <w:rsid w:val="002A0623"/>
    <w:rsid w:val="002A6DBF"/>
    <w:rsid w:val="002A7DD7"/>
    <w:rsid w:val="002B1D3B"/>
    <w:rsid w:val="002B1FDF"/>
    <w:rsid w:val="002B3621"/>
    <w:rsid w:val="002B4022"/>
    <w:rsid w:val="002C0541"/>
    <w:rsid w:val="002C4598"/>
    <w:rsid w:val="002D40E8"/>
    <w:rsid w:val="002D6C9F"/>
    <w:rsid w:val="002D74EC"/>
    <w:rsid w:val="002E0B30"/>
    <w:rsid w:val="002E3BCB"/>
    <w:rsid w:val="002E3C33"/>
    <w:rsid w:val="002E68E0"/>
    <w:rsid w:val="002F480C"/>
    <w:rsid w:val="00300439"/>
    <w:rsid w:val="00301E04"/>
    <w:rsid w:val="00304320"/>
    <w:rsid w:val="003055C5"/>
    <w:rsid w:val="00306F6D"/>
    <w:rsid w:val="00312D43"/>
    <w:rsid w:val="00313076"/>
    <w:rsid w:val="00314666"/>
    <w:rsid w:val="00317749"/>
    <w:rsid w:val="003219B7"/>
    <w:rsid w:val="00335E7C"/>
    <w:rsid w:val="00350F7A"/>
    <w:rsid w:val="00353E52"/>
    <w:rsid w:val="003561B3"/>
    <w:rsid w:val="0036263A"/>
    <w:rsid w:val="00365AED"/>
    <w:rsid w:val="00365BBE"/>
    <w:rsid w:val="00367586"/>
    <w:rsid w:val="00370B0F"/>
    <w:rsid w:val="003759E1"/>
    <w:rsid w:val="00377867"/>
    <w:rsid w:val="00377BF9"/>
    <w:rsid w:val="00380790"/>
    <w:rsid w:val="003860B0"/>
    <w:rsid w:val="00386D70"/>
    <w:rsid w:val="0038784E"/>
    <w:rsid w:val="00390B04"/>
    <w:rsid w:val="00390D9E"/>
    <w:rsid w:val="00391100"/>
    <w:rsid w:val="0039270C"/>
    <w:rsid w:val="003A09AD"/>
    <w:rsid w:val="003A23DA"/>
    <w:rsid w:val="003B3BA2"/>
    <w:rsid w:val="003C418C"/>
    <w:rsid w:val="003D0F14"/>
    <w:rsid w:val="003D279C"/>
    <w:rsid w:val="003E40F8"/>
    <w:rsid w:val="003F0231"/>
    <w:rsid w:val="003F279D"/>
    <w:rsid w:val="003F347E"/>
    <w:rsid w:val="003F5A0E"/>
    <w:rsid w:val="004019F8"/>
    <w:rsid w:val="004119CD"/>
    <w:rsid w:val="00412769"/>
    <w:rsid w:val="0041456D"/>
    <w:rsid w:val="00415D5C"/>
    <w:rsid w:val="00417604"/>
    <w:rsid w:val="0042027A"/>
    <w:rsid w:val="00421CCE"/>
    <w:rsid w:val="00433B57"/>
    <w:rsid w:val="00437627"/>
    <w:rsid w:val="00444A56"/>
    <w:rsid w:val="00444BAC"/>
    <w:rsid w:val="0044582A"/>
    <w:rsid w:val="0044582C"/>
    <w:rsid w:val="00455440"/>
    <w:rsid w:val="00457B62"/>
    <w:rsid w:val="00463D24"/>
    <w:rsid w:val="00464261"/>
    <w:rsid w:val="00464BAC"/>
    <w:rsid w:val="00466B4F"/>
    <w:rsid w:val="004735DA"/>
    <w:rsid w:val="00473E89"/>
    <w:rsid w:val="00476578"/>
    <w:rsid w:val="0047739B"/>
    <w:rsid w:val="00482771"/>
    <w:rsid w:val="00490BD4"/>
    <w:rsid w:val="00491461"/>
    <w:rsid w:val="00497441"/>
    <w:rsid w:val="004B09E6"/>
    <w:rsid w:val="004B353F"/>
    <w:rsid w:val="004B3FF4"/>
    <w:rsid w:val="004B5CCC"/>
    <w:rsid w:val="004C3C4F"/>
    <w:rsid w:val="004C477B"/>
    <w:rsid w:val="004C6ABA"/>
    <w:rsid w:val="004D3209"/>
    <w:rsid w:val="004E5635"/>
    <w:rsid w:val="004E76AE"/>
    <w:rsid w:val="004F3579"/>
    <w:rsid w:val="004F78EA"/>
    <w:rsid w:val="005010DB"/>
    <w:rsid w:val="00503A12"/>
    <w:rsid w:val="00505EC5"/>
    <w:rsid w:val="005065B2"/>
    <w:rsid w:val="00507778"/>
    <w:rsid w:val="00507AA6"/>
    <w:rsid w:val="00507ADE"/>
    <w:rsid w:val="005119ED"/>
    <w:rsid w:val="0051378B"/>
    <w:rsid w:val="0051735E"/>
    <w:rsid w:val="005207D0"/>
    <w:rsid w:val="00526233"/>
    <w:rsid w:val="00527EB6"/>
    <w:rsid w:val="00530AD4"/>
    <w:rsid w:val="00531EFD"/>
    <w:rsid w:val="005325FD"/>
    <w:rsid w:val="00532A18"/>
    <w:rsid w:val="005340E3"/>
    <w:rsid w:val="00536599"/>
    <w:rsid w:val="005410B0"/>
    <w:rsid w:val="005443E9"/>
    <w:rsid w:val="005523AC"/>
    <w:rsid w:val="0055520F"/>
    <w:rsid w:val="0055762F"/>
    <w:rsid w:val="00564046"/>
    <w:rsid w:val="005779BB"/>
    <w:rsid w:val="00582190"/>
    <w:rsid w:val="005829C7"/>
    <w:rsid w:val="00587C89"/>
    <w:rsid w:val="00590CEE"/>
    <w:rsid w:val="00590F64"/>
    <w:rsid w:val="00591420"/>
    <w:rsid w:val="005A1A55"/>
    <w:rsid w:val="005B0DBB"/>
    <w:rsid w:val="005B5A02"/>
    <w:rsid w:val="005B7345"/>
    <w:rsid w:val="005C4512"/>
    <w:rsid w:val="005C4B56"/>
    <w:rsid w:val="005C607F"/>
    <w:rsid w:val="005D3939"/>
    <w:rsid w:val="005D463D"/>
    <w:rsid w:val="005D7EBF"/>
    <w:rsid w:val="005E1EE9"/>
    <w:rsid w:val="005E334C"/>
    <w:rsid w:val="005F5C0D"/>
    <w:rsid w:val="00601F9E"/>
    <w:rsid w:val="00602AAC"/>
    <w:rsid w:val="006132C5"/>
    <w:rsid w:val="006221BF"/>
    <w:rsid w:val="00622712"/>
    <w:rsid w:val="00623973"/>
    <w:rsid w:val="0062606E"/>
    <w:rsid w:val="00627504"/>
    <w:rsid w:val="006329EA"/>
    <w:rsid w:val="006365BC"/>
    <w:rsid w:val="006372DF"/>
    <w:rsid w:val="0064161C"/>
    <w:rsid w:val="006439F0"/>
    <w:rsid w:val="00645409"/>
    <w:rsid w:val="00650457"/>
    <w:rsid w:val="00651053"/>
    <w:rsid w:val="00654A8B"/>
    <w:rsid w:val="00662BC6"/>
    <w:rsid w:val="0066443D"/>
    <w:rsid w:val="00672446"/>
    <w:rsid w:val="006732AB"/>
    <w:rsid w:val="00673AB2"/>
    <w:rsid w:val="0068061C"/>
    <w:rsid w:val="00680F5A"/>
    <w:rsid w:val="00686609"/>
    <w:rsid w:val="00697095"/>
    <w:rsid w:val="006A142B"/>
    <w:rsid w:val="006A2737"/>
    <w:rsid w:val="006A620C"/>
    <w:rsid w:val="006B3E61"/>
    <w:rsid w:val="006B68BD"/>
    <w:rsid w:val="006B68D3"/>
    <w:rsid w:val="006C266B"/>
    <w:rsid w:val="006D2702"/>
    <w:rsid w:val="006E1458"/>
    <w:rsid w:val="006E2EAA"/>
    <w:rsid w:val="006E4DBA"/>
    <w:rsid w:val="006E6D0B"/>
    <w:rsid w:val="006F1428"/>
    <w:rsid w:val="006F4C44"/>
    <w:rsid w:val="006F5B58"/>
    <w:rsid w:val="00701D59"/>
    <w:rsid w:val="00702150"/>
    <w:rsid w:val="0071130B"/>
    <w:rsid w:val="00712F04"/>
    <w:rsid w:val="0071403D"/>
    <w:rsid w:val="00717A67"/>
    <w:rsid w:val="007216BB"/>
    <w:rsid w:val="00725F0C"/>
    <w:rsid w:val="007323B8"/>
    <w:rsid w:val="00734DBF"/>
    <w:rsid w:val="00743BB6"/>
    <w:rsid w:val="007540F7"/>
    <w:rsid w:val="0076037D"/>
    <w:rsid w:val="007613CA"/>
    <w:rsid w:val="007615C7"/>
    <w:rsid w:val="00765A5A"/>
    <w:rsid w:val="00771E9E"/>
    <w:rsid w:val="00773652"/>
    <w:rsid w:val="00773B37"/>
    <w:rsid w:val="00774A71"/>
    <w:rsid w:val="00776552"/>
    <w:rsid w:val="007838B6"/>
    <w:rsid w:val="007852D8"/>
    <w:rsid w:val="00785370"/>
    <w:rsid w:val="0078664B"/>
    <w:rsid w:val="00791317"/>
    <w:rsid w:val="00792BC4"/>
    <w:rsid w:val="00795C2A"/>
    <w:rsid w:val="007A1A55"/>
    <w:rsid w:val="007A37B6"/>
    <w:rsid w:val="007A78D8"/>
    <w:rsid w:val="007B1CBD"/>
    <w:rsid w:val="007B496A"/>
    <w:rsid w:val="007B7D8A"/>
    <w:rsid w:val="007C5443"/>
    <w:rsid w:val="007D187E"/>
    <w:rsid w:val="007D3A70"/>
    <w:rsid w:val="007D4936"/>
    <w:rsid w:val="007E2627"/>
    <w:rsid w:val="007E36CB"/>
    <w:rsid w:val="007E3EEE"/>
    <w:rsid w:val="007E4B45"/>
    <w:rsid w:val="007F6DF7"/>
    <w:rsid w:val="0080148C"/>
    <w:rsid w:val="0080786C"/>
    <w:rsid w:val="008109EC"/>
    <w:rsid w:val="00811E5F"/>
    <w:rsid w:val="00820E04"/>
    <w:rsid w:val="00830FE1"/>
    <w:rsid w:val="008341AD"/>
    <w:rsid w:val="00834DD1"/>
    <w:rsid w:val="0084325A"/>
    <w:rsid w:val="00847430"/>
    <w:rsid w:val="00851E7F"/>
    <w:rsid w:val="00855119"/>
    <w:rsid w:val="00857CB0"/>
    <w:rsid w:val="00860B6D"/>
    <w:rsid w:val="00864A55"/>
    <w:rsid w:val="00866EAC"/>
    <w:rsid w:val="00870858"/>
    <w:rsid w:val="00870C49"/>
    <w:rsid w:val="00872CCA"/>
    <w:rsid w:val="00873869"/>
    <w:rsid w:val="008740F3"/>
    <w:rsid w:val="008751B3"/>
    <w:rsid w:val="00880C50"/>
    <w:rsid w:val="008927E0"/>
    <w:rsid w:val="008955F1"/>
    <w:rsid w:val="00895F22"/>
    <w:rsid w:val="00895F56"/>
    <w:rsid w:val="008A19BE"/>
    <w:rsid w:val="008A5042"/>
    <w:rsid w:val="008A6A95"/>
    <w:rsid w:val="008A73B6"/>
    <w:rsid w:val="008B2D3F"/>
    <w:rsid w:val="008B6842"/>
    <w:rsid w:val="008B6930"/>
    <w:rsid w:val="008C0ABD"/>
    <w:rsid w:val="008C1715"/>
    <w:rsid w:val="008C17C1"/>
    <w:rsid w:val="008C3FE8"/>
    <w:rsid w:val="008D30D4"/>
    <w:rsid w:val="008D3A62"/>
    <w:rsid w:val="008E0792"/>
    <w:rsid w:val="008F473D"/>
    <w:rsid w:val="008F7496"/>
    <w:rsid w:val="00903AC3"/>
    <w:rsid w:val="00907185"/>
    <w:rsid w:val="0090731D"/>
    <w:rsid w:val="00910CFD"/>
    <w:rsid w:val="00915EF0"/>
    <w:rsid w:val="009164EF"/>
    <w:rsid w:val="00930807"/>
    <w:rsid w:val="00932BDE"/>
    <w:rsid w:val="0093418E"/>
    <w:rsid w:val="00934A18"/>
    <w:rsid w:val="0094316D"/>
    <w:rsid w:val="009434D1"/>
    <w:rsid w:val="00945286"/>
    <w:rsid w:val="00945F9F"/>
    <w:rsid w:val="00946103"/>
    <w:rsid w:val="0095518B"/>
    <w:rsid w:val="00957263"/>
    <w:rsid w:val="0096045D"/>
    <w:rsid w:val="009655E0"/>
    <w:rsid w:val="0097060D"/>
    <w:rsid w:val="009731FF"/>
    <w:rsid w:val="00975FE2"/>
    <w:rsid w:val="00977BA7"/>
    <w:rsid w:val="00982CA7"/>
    <w:rsid w:val="009845A5"/>
    <w:rsid w:val="00984F84"/>
    <w:rsid w:val="00986861"/>
    <w:rsid w:val="00993184"/>
    <w:rsid w:val="009955F0"/>
    <w:rsid w:val="009A5BBD"/>
    <w:rsid w:val="009C25BF"/>
    <w:rsid w:val="009C2925"/>
    <w:rsid w:val="009C2CC3"/>
    <w:rsid w:val="009C40C5"/>
    <w:rsid w:val="009C77AF"/>
    <w:rsid w:val="009D1097"/>
    <w:rsid w:val="009D409C"/>
    <w:rsid w:val="009E05D6"/>
    <w:rsid w:val="009E2B45"/>
    <w:rsid w:val="009F22D3"/>
    <w:rsid w:val="009F4937"/>
    <w:rsid w:val="00A03E04"/>
    <w:rsid w:val="00A0582C"/>
    <w:rsid w:val="00A165BC"/>
    <w:rsid w:val="00A236A2"/>
    <w:rsid w:val="00A267A0"/>
    <w:rsid w:val="00A273FE"/>
    <w:rsid w:val="00A36BF0"/>
    <w:rsid w:val="00A40488"/>
    <w:rsid w:val="00A42B6E"/>
    <w:rsid w:val="00A44995"/>
    <w:rsid w:val="00A466EB"/>
    <w:rsid w:val="00A46830"/>
    <w:rsid w:val="00A46F94"/>
    <w:rsid w:val="00A5130A"/>
    <w:rsid w:val="00A52A2E"/>
    <w:rsid w:val="00A5586D"/>
    <w:rsid w:val="00A645F8"/>
    <w:rsid w:val="00A749D9"/>
    <w:rsid w:val="00A74A6F"/>
    <w:rsid w:val="00A7501E"/>
    <w:rsid w:val="00A7615F"/>
    <w:rsid w:val="00A82EFA"/>
    <w:rsid w:val="00A83BC4"/>
    <w:rsid w:val="00A863EA"/>
    <w:rsid w:val="00A86D70"/>
    <w:rsid w:val="00AA2453"/>
    <w:rsid w:val="00AA29B2"/>
    <w:rsid w:val="00AB0C11"/>
    <w:rsid w:val="00AB5707"/>
    <w:rsid w:val="00AB74A5"/>
    <w:rsid w:val="00AC2423"/>
    <w:rsid w:val="00AC38CE"/>
    <w:rsid w:val="00AC4C73"/>
    <w:rsid w:val="00AC703E"/>
    <w:rsid w:val="00AD007F"/>
    <w:rsid w:val="00AD6C66"/>
    <w:rsid w:val="00AE1FD5"/>
    <w:rsid w:val="00AE2F13"/>
    <w:rsid w:val="00AE39DD"/>
    <w:rsid w:val="00AE5D17"/>
    <w:rsid w:val="00AE6899"/>
    <w:rsid w:val="00AF0F83"/>
    <w:rsid w:val="00AF194C"/>
    <w:rsid w:val="00AF2037"/>
    <w:rsid w:val="00B02F15"/>
    <w:rsid w:val="00B06A52"/>
    <w:rsid w:val="00B136CA"/>
    <w:rsid w:val="00B16526"/>
    <w:rsid w:val="00B17802"/>
    <w:rsid w:val="00B22F8D"/>
    <w:rsid w:val="00B24FFE"/>
    <w:rsid w:val="00B250F9"/>
    <w:rsid w:val="00B2611D"/>
    <w:rsid w:val="00B26BEE"/>
    <w:rsid w:val="00B31FFE"/>
    <w:rsid w:val="00B32598"/>
    <w:rsid w:val="00B340E4"/>
    <w:rsid w:val="00B363A3"/>
    <w:rsid w:val="00B365F4"/>
    <w:rsid w:val="00B4092C"/>
    <w:rsid w:val="00B55CD4"/>
    <w:rsid w:val="00B55FF7"/>
    <w:rsid w:val="00B57006"/>
    <w:rsid w:val="00B60DEB"/>
    <w:rsid w:val="00B63B8A"/>
    <w:rsid w:val="00B672E3"/>
    <w:rsid w:val="00B70545"/>
    <w:rsid w:val="00B759E2"/>
    <w:rsid w:val="00B7752B"/>
    <w:rsid w:val="00B77EE1"/>
    <w:rsid w:val="00B8346D"/>
    <w:rsid w:val="00B848D1"/>
    <w:rsid w:val="00B85065"/>
    <w:rsid w:val="00B92CA6"/>
    <w:rsid w:val="00B97A6F"/>
    <w:rsid w:val="00BA1AD4"/>
    <w:rsid w:val="00BB1B6C"/>
    <w:rsid w:val="00BB538C"/>
    <w:rsid w:val="00BC1A90"/>
    <w:rsid w:val="00BC5376"/>
    <w:rsid w:val="00BC7E5B"/>
    <w:rsid w:val="00BD2319"/>
    <w:rsid w:val="00BD26D9"/>
    <w:rsid w:val="00BD2CFB"/>
    <w:rsid w:val="00BD71F7"/>
    <w:rsid w:val="00BE1B7F"/>
    <w:rsid w:val="00BE5366"/>
    <w:rsid w:val="00BF1768"/>
    <w:rsid w:val="00BF31A7"/>
    <w:rsid w:val="00BF6FDD"/>
    <w:rsid w:val="00C021DA"/>
    <w:rsid w:val="00C03A57"/>
    <w:rsid w:val="00C05906"/>
    <w:rsid w:val="00C062B3"/>
    <w:rsid w:val="00C0683C"/>
    <w:rsid w:val="00C109A0"/>
    <w:rsid w:val="00C2671F"/>
    <w:rsid w:val="00C27172"/>
    <w:rsid w:val="00C27EA2"/>
    <w:rsid w:val="00C30A3D"/>
    <w:rsid w:val="00C34D62"/>
    <w:rsid w:val="00C4234B"/>
    <w:rsid w:val="00C42A23"/>
    <w:rsid w:val="00C461F6"/>
    <w:rsid w:val="00C56987"/>
    <w:rsid w:val="00C61CFC"/>
    <w:rsid w:val="00C61F6D"/>
    <w:rsid w:val="00C62BC5"/>
    <w:rsid w:val="00C66669"/>
    <w:rsid w:val="00C668D6"/>
    <w:rsid w:val="00C708B6"/>
    <w:rsid w:val="00C70F7B"/>
    <w:rsid w:val="00C72A91"/>
    <w:rsid w:val="00C730E4"/>
    <w:rsid w:val="00C760C9"/>
    <w:rsid w:val="00C76658"/>
    <w:rsid w:val="00C80E48"/>
    <w:rsid w:val="00C8397D"/>
    <w:rsid w:val="00C8626C"/>
    <w:rsid w:val="00C86F30"/>
    <w:rsid w:val="00C92966"/>
    <w:rsid w:val="00CA27FC"/>
    <w:rsid w:val="00CA2FD6"/>
    <w:rsid w:val="00CA6D2A"/>
    <w:rsid w:val="00CB2A9E"/>
    <w:rsid w:val="00CB325E"/>
    <w:rsid w:val="00CC4534"/>
    <w:rsid w:val="00CD03E7"/>
    <w:rsid w:val="00CD5D52"/>
    <w:rsid w:val="00CD7263"/>
    <w:rsid w:val="00CE5EB3"/>
    <w:rsid w:val="00CE7D2C"/>
    <w:rsid w:val="00CE7D82"/>
    <w:rsid w:val="00CF29EA"/>
    <w:rsid w:val="00D132DB"/>
    <w:rsid w:val="00D1350B"/>
    <w:rsid w:val="00D14B4F"/>
    <w:rsid w:val="00D1675D"/>
    <w:rsid w:val="00D179E4"/>
    <w:rsid w:val="00D354AD"/>
    <w:rsid w:val="00D361D7"/>
    <w:rsid w:val="00D43DED"/>
    <w:rsid w:val="00D45BEA"/>
    <w:rsid w:val="00D64CA7"/>
    <w:rsid w:val="00D65791"/>
    <w:rsid w:val="00D66BE8"/>
    <w:rsid w:val="00D701D4"/>
    <w:rsid w:val="00D75CB2"/>
    <w:rsid w:val="00D8410D"/>
    <w:rsid w:val="00D86235"/>
    <w:rsid w:val="00D91798"/>
    <w:rsid w:val="00D92820"/>
    <w:rsid w:val="00DA5FF3"/>
    <w:rsid w:val="00DB015D"/>
    <w:rsid w:val="00DC2F3D"/>
    <w:rsid w:val="00DC697A"/>
    <w:rsid w:val="00DC6CFF"/>
    <w:rsid w:val="00DD2BBC"/>
    <w:rsid w:val="00DE0070"/>
    <w:rsid w:val="00DE44C6"/>
    <w:rsid w:val="00DE4DA3"/>
    <w:rsid w:val="00DE60BE"/>
    <w:rsid w:val="00E06E08"/>
    <w:rsid w:val="00E11B4A"/>
    <w:rsid w:val="00E14D11"/>
    <w:rsid w:val="00E1580D"/>
    <w:rsid w:val="00E24BF1"/>
    <w:rsid w:val="00E259E6"/>
    <w:rsid w:val="00E41311"/>
    <w:rsid w:val="00E5391F"/>
    <w:rsid w:val="00E6781A"/>
    <w:rsid w:val="00E720AD"/>
    <w:rsid w:val="00E75616"/>
    <w:rsid w:val="00E7698C"/>
    <w:rsid w:val="00E77376"/>
    <w:rsid w:val="00E84614"/>
    <w:rsid w:val="00E87194"/>
    <w:rsid w:val="00E94971"/>
    <w:rsid w:val="00E9526A"/>
    <w:rsid w:val="00E96F1E"/>
    <w:rsid w:val="00EA0DD2"/>
    <w:rsid w:val="00EA26A7"/>
    <w:rsid w:val="00EA4FE8"/>
    <w:rsid w:val="00EA6155"/>
    <w:rsid w:val="00EB122C"/>
    <w:rsid w:val="00EB4308"/>
    <w:rsid w:val="00EB68F7"/>
    <w:rsid w:val="00EC0470"/>
    <w:rsid w:val="00EC2AC7"/>
    <w:rsid w:val="00EC3E11"/>
    <w:rsid w:val="00EC5237"/>
    <w:rsid w:val="00EC5896"/>
    <w:rsid w:val="00ED0A66"/>
    <w:rsid w:val="00ED19A4"/>
    <w:rsid w:val="00ED73D2"/>
    <w:rsid w:val="00EE0FE1"/>
    <w:rsid w:val="00EE2640"/>
    <w:rsid w:val="00EE5DD0"/>
    <w:rsid w:val="00EE6518"/>
    <w:rsid w:val="00EE7CE7"/>
    <w:rsid w:val="00EF37AC"/>
    <w:rsid w:val="00EF5801"/>
    <w:rsid w:val="00F01635"/>
    <w:rsid w:val="00F030E9"/>
    <w:rsid w:val="00F03F3D"/>
    <w:rsid w:val="00F05045"/>
    <w:rsid w:val="00F06E2F"/>
    <w:rsid w:val="00F12AD8"/>
    <w:rsid w:val="00F13A3B"/>
    <w:rsid w:val="00F14C8B"/>
    <w:rsid w:val="00F14CD9"/>
    <w:rsid w:val="00F14E41"/>
    <w:rsid w:val="00F17829"/>
    <w:rsid w:val="00F179C4"/>
    <w:rsid w:val="00F32AEB"/>
    <w:rsid w:val="00F52C94"/>
    <w:rsid w:val="00F539C6"/>
    <w:rsid w:val="00F60625"/>
    <w:rsid w:val="00F60C0F"/>
    <w:rsid w:val="00F646C7"/>
    <w:rsid w:val="00F71F4E"/>
    <w:rsid w:val="00F74F27"/>
    <w:rsid w:val="00F75FD0"/>
    <w:rsid w:val="00F76625"/>
    <w:rsid w:val="00F76881"/>
    <w:rsid w:val="00F77109"/>
    <w:rsid w:val="00F77652"/>
    <w:rsid w:val="00F80339"/>
    <w:rsid w:val="00F8251D"/>
    <w:rsid w:val="00F83046"/>
    <w:rsid w:val="00F85EF1"/>
    <w:rsid w:val="00F91551"/>
    <w:rsid w:val="00F923F2"/>
    <w:rsid w:val="00F93420"/>
    <w:rsid w:val="00F95FE7"/>
    <w:rsid w:val="00F96AA9"/>
    <w:rsid w:val="00F97B18"/>
    <w:rsid w:val="00FA3171"/>
    <w:rsid w:val="00FB14A5"/>
    <w:rsid w:val="00FB4BFF"/>
    <w:rsid w:val="00FC0DFB"/>
    <w:rsid w:val="00FC31B5"/>
    <w:rsid w:val="00FC36D3"/>
    <w:rsid w:val="00FD05C0"/>
    <w:rsid w:val="00FE3D2A"/>
    <w:rsid w:val="00FE76D2"/>
    <w:rsid w:val="00FE7D8B"/>
    <w:rsid w:val="00FF0260"/>
    <w:rsid w:val="00FF0E21"/>
    <w:rsid w:val="00FF20E5"/>
    <w:rsid w:val="00FF5A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C0D22"/>
  <w15:docId w15:val="{E1E68EFE-EF42-41C7-AB8D-BFE760F10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15"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5"/>
    <w:qFormat/>
    <w:rsid w:val="00B848D1"/>
    <w:pPr>
      <w:spacing w:before="120" w:after="120" w:line="240" w:lineRule="auto"/>
      <w:jc w:val="both"/>
    </w:pPr>
  </w:style>
  <w:style w:type="paragraph" w:styleId="Heading1">
    <w:name w:val="heading 1"/>
    <w:basedOn w:val="Normal"/>
    <w:next w:val="Normal"/>
    <w:link w:val="Heading1Char"/>
    <w:uiPriority w:val="99"/>
    <w:qFormat/>
    <w:rsid w:val="00466B4F"/>
    <w:pPr>
      <w:pageBreakBefore/>
      <w:numPr>
        <w:numId w:val="15"/>
      </w:numPr>
      <w:spacing w:after="240"/>
      <w:jc w:val="left"/>
      <w:outlineLvl w:val="0"/>
    </w:pPr>
    <w:rPr>
      <w:rFonts w:eastAsia="Times New Roman" w:cs="Times New Roman"/>
      <w:b/>
      <w:color w:val="404040" w:themeColor="text1" w:themeTint="BF"/>
      <w:sz w:val="32"/>
      <w:szCs w:val="32"/>
      <w:u w:color="00B050"/>
    </w:rPr>
  </w:style>
  <w:style w:type="paragraph" w:styleId="Heading2">
    <w:name w:val="heading 2"/>
    <w:basedOn w:val="Normal"/>
    <w:next w:val="Normal"/>
    <w:link w:val="Heading2Char"/>
    <w:uiPriority w:val="99"/>
    <w:unhideWhenUsed/>
    <w:qFormat/>
    <w:rsid w:val="00466B4F"/>
    <w:pPr>
      <w:numPr>
        <w:ilvl w:val="1"/>
        <w:numId w:val="15"/>
      </w:numPr>
      <w:spacing w:before="240"/>
      <w:jc w:val="left"/>
      <w:outlineLvl w:val="1"/>
    </w:pPr>
    <w:rPr>
      <w:b/>
      <w:color w:val="404040" w:themeColor="text1" w:themeTint="BF"/>
      <w:sz w:val="28"/>
      <w:szCs w:val="32"/>
    </w:rPr>
  </w:style>
  <w:style w:type="paragraph" w:styleId="Heading3">
    <w:name w:val="heading 3"/>
    <w:basedOn w:val="Normal"/>
    <w:next w:val="Normal"/>
    <w:link w:val="Heading3Char"/>
    <w:uiPriority w:val="99"/>
    <w:unhideWhenUsed/>
    <w:qFormat/>
    <w:rsid w:val="00466B4F"/>
    <w:pPr>
      <w:keepNext/>
      <w:keepLines/>
      <w:numPr>
        <w:ilvl w:val="2"/>
        <w:numId w:val="15"/>
      </w:numPr>
      <w:spacing w:before="240" w:after="240"/>
      <w:jc w:val="left"/>
      <w:outlineLvl w:val="2"/>
    </w:pPr>
    <w:rPr>
      <w:rFonts w:eastAsiaTheme="majorEastAsia" w:cs="Tahoma"/>
      <w:b/>
      <w:bCs/>
      <w:color w:val="404040" w:themeColor="text1" w:themeTint="BF"/>
      <w:sz w:val="24"/>
      <w:szCs w:val="28"/>
    </w:rPr>
  </w:style>
  <w:style w:type="paragraph" w:styleId="Heading4">
    <w:name w:val="heading 4"/>
    <w:basedOn w:val="Normal"/>
    <w:next w:val="Normal"/>
    <w:link w:val="Heading4Char"/>
    <w:uiPriority w:val="9"/>
    <w:unhideWhenUsed/>
    <w:qFormat/>
    <w:rsid w:val="00466B4F"/>
    <w:pPr>
      <w:keepNext/>
      <w:keepLines/>
      <w:spacing w:before="240" w:after="240"/>
      <w:jc w:val="left"/>
      <w:outlineLvl w:val="3"/>
    </w:pPr>
    <w:rPr>
      <w:rFonts w:eastAsiaTheme="majorEastAsia" w:cs="Tahoma"/>
      <w:b/>
      <w:bCs/>
      <w:iCs/>
      <w:color w:val="7F7F7F" w:themeColor="text1" w:themeTint="80"/>
      <w:szCs w:val="24"/>
    </w:rPr>
  </w:style>
  <w:style w:type="paragraph" w:styleId="Heading5">
    <w:name w:val="heading 5"/>
    <w:basedOn w:val="Normal"/>
    <w:next w:val="Normal"/>
    <w:link w:val="Heading5Char"/>
    <w:uiPriority w:val="9"/>
    <w:unhideWhenUsed/>
    <w:rsid w:val="006F1428"/>
    <w:pPr>
      <w:numPr>
        <w:ilvl w:val="4"/>
        <w:numId w:val="15"/>
      </w:numPr>
      <w:spacing w:before="240"/>
      <w:jc w:val="left"/>
      <w:outlineLvl w:val="4"/>
    </w:pPr>
    <w:rPr>
      <w:b/>
      <w:i/>
      <w:color w:val="76C474"/>
      <w:sz w:val="21"/>
      <w:szCs w:val="20"/>
    </w:rPr>
  </w:style>
  <w:style w:type="paragraph" w:styleId="Heading6">
    <w:name w:val="heading 6"/>
    <w:basedOn w:val="Normal"/>
    <w:next w:val="NumberedParagraph"/>
    <w:link w:val="Heading6Char"/>
    <w:uiPriority w:val="9"/>
    <w:unhideWhenUsed/>
    <w:rsid w:val="00EA26A7"/>
    <w:pPr>
      <w:numPr>
        <w:ilvl w:val="5"/>
        <w:numId w:val="15"/>
      </w:numPr>
      <w:spacing w:after="240"/>
      <w:jc w:val="left"/>
      <w:outlineLvl w:val="5"/>
    </w:pPr>
    <w:rPr>
      <w:b/>
      <w:color w:val="44697D"/>
      <w:sz w:val="32"/>
    </w:rPr>
  </w:style>
  <w:style w:type="paragraph" w:styleId="Heading7">
    <w:name w:val="heading 7"/>
    <w:basedOn w:val="Normal"/>
    <w:next w:val="Normal"/>
    <w:link w:val="Heading7Char"/>
    <w:uiPriority w:val="9"/>
    <w:semiHidden/>
    <w:unhideWhenUsed/>
    <w:rsid w:val="00C2671F"/>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36CB"/>
    <w:pPr>
      <w:keepNext/>
      <w:keepLines/>
      <w:numPr>
        <w:ilvl w:val="7"/>
        <w:numId w:val="15"/>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7E36CB"/>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466B4F"/>
    <w:pPr>
      <w:spacing w:after="0"/>
    </w:pPr>
    <w:rPr>
      <w:color w:val="404040" w:themeColor="text1" w:themeTint="BF"/>
      <w:sz w:val="20"/>
    </w:rPr>
  </w:style>
  <w:style w:type="character" w:customStyle="1" w:styleId="HeaderChar">
    <w:name w:val="Header Char"/>
    <w:basedOn w:val="DefaultParagraphFont"/>
    <w:link w:val="Header"/>
    <w:uiPriority w:val="99"/>
    <w:rsid w:val="00466B4F"/>
    <w:rPr>
      <w:color w:val="404040" w:themeColor="text1" w:themeTint="BF"/>
      <w:sz w:val="20"/>
    </w:rPr>
  </w:style>
  <w:style w:type="paragraph" w:styleId="Footer">
    <w:name w:val="footer"/>
    <w:link w:val="FooterChar"/>
    <w:uiPriority w:val="99"/>
    <w:unhideWhenUsed/>
    <w:qFormat/>
    <w:rsid w:val="00466B4F"/>
    <w:pPr>
      <w:tabs>
        <w:tab w:val="right" w:pos="9638"/>
      </w:tabs>
      <w:spacing w:after="0" w:line="240" w:lineRule="auto"/>
    </w:pPr>
    <w:rPr>
      <w:rFonts w:eastAsia="Times New Roman" w:cs="Tahoma"/>
      <w:bCs/>
      <w:color w:val="404040" w:themeColor="text1" w:themeTint="BF"/>
      <w:sz w:val="20"/>
      <w:szCs w:val="20"/>
    </w:rPr>
  </w:style>
  <w:style w:type="character" w:customStyle="1" w:styleId="FooterChar">
    <w:name w:val="Footer Char"/>
    <w:basedOn w:val="DefaultParagraphFont"/>
    <w:link w:val="Footer"/>
    <w:uiPriority w:val="99"/>
    <w:rsid w:val="00466B4F"/>
    <w:rPr>
      <w:rFonts w:eastAsia="Times New Roman" w:cs="Tahoma"/>
      <w:bCs/>
      <w:color w:val="404040" w:themeColor="text1" w:themeTint="BF"/>
      <w:sz w:val="20"/>
      <w:szCs w:val="20"/>
    </w:rPr>
  </w:style>
  <w:style w:type="table" w:styleId="TableGrid">
    <w:name w:val="Table Grid"/>
    <w:basedOn w:val="TableNormal"/>
    <w:uiPriority w:val="59"/>
    <w:rsid w:val="00895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466B4F"/>
    <w:rPr>
      <w:rFonts w:eastAsia="Times New Roman" w:cs="Times New Roman"/>
      <w:b/>
      <w:color w:val="404040" w:themeColor="text1" w:themeTint="BF"/>
      <w:sz w:val="32"/>
      <w:szCs w:val="32"/>
      <w:u w:color="00B050"/>
    </w:rPr>
  </w:style>
  <w:style w:type="character" w:customStyle="1" w:styleId="Heading2Char">
    <w:name w:val="Heading 2 Char"/>
    <w:basedOn w:val="DefaultParagraphFont"/>
    <w:link w:val="Heading2"/>
    <w:uiPriority w:val="99"/>
    <w:rsid w:val="00466B4F"/>
    <w:rPr>
      <w:b/>
      <w:color w:val="404040" w:themeColor="text1" w:themeTint="BF"/>
      <w:sz w:val="28"/>
      <w:szCs w:val="32"/>
    </w:rPr>
  </w:style>
  <w:style w:type="character" w:customStyle="1" w:styleId="Heading3Char">
    <w:name w:val="Heading 3 Char"/>
    <w:basedOn w:val="DefaultParagraphFont"/>
    <w:link w:val="Heading3"/>
    <w:uiPriority w:val="99"/>
    <w:rsid w:val="00466B4F"/>
    <w:rPr>
      <w:rFonts w:eastAsiaTheme="majorEastAsia" w:cs="Tahoma"/>
      <w:b/>
      <w:bCs/>
      <w:color w:val="404040" w:themeColor="text1" w:themeTint="BF"/>
      <w:sz w:val="24"/>
      <w:szCs w:val="28"/>
    </w:rPr>
  </w:style>
  <w:style w:type="character" w:customStyle="1" w:styleId="Heading8Char">
    <w:name w:val="Heading 8 Char"/>
    <w:basedOn w:val="DefaultParagraphFont"/>
    <w:link w:val="Heading8"/>
    <w:uiPriority w:val="9"/>
    <w:semiHidden/>
    <w:rsid w:val="007E36CB"/>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7E36CB"/>
    <w:rPr>
      <w:rFonts w:asciiTheme="majorHAnsi" w:eastAsiaTheme="majorEastAsia" w:hAnsiTheme="majorHAnsi" w:cstheme="majorBidi"/>
      <w:i/>
      <w:iCs/>
      <w:color w:val="404040" w:themeColor="text1" w:themeTint="BF"/>
      <w:szCs w:val="20"/>
    </w:rPr>
  </w:style>
  <w:style w:type="paragraph" w:customStyle="1" w:styleId="SectionHeading">
    <w:name w:val="Section Heading"/>
    <w:basedOn w:val="Normal"/>
    <w:uiPriority w:val="16"/>
    <w:qFormat/>
    <w:rsid w:val="00466B4F"/>
    <w:pPr>
      <w:jc w:val="center"/>
    </w:pPr>
    <w:rPr>
      <w:b/>
      <w:color w:val="404040" w:themeColor="text1" w:themeTint="BF"/>
      <w:sz w:val="32"/>
      <w:szCs w:val="32"/>
    </w:rPr>
  </w:style>
  <w:style w:type="character" w:customStyle="1" w:styleId="Heading4Char">
    <w:name w:val="Heading 4 Char"/>
    <w:basedOn w:val="DefaultParagraphFont"/>
    <w:link w:val="Heading4"/>
    <w:uiPriority w:val="9"/>
    <w:rsid w:val="00466B4F"/>
    <w:rPr>
      <w:rFonts w:eastAsiaTheme="majorEastAsia" w:cs="Tahoma"/>
      <w:b/>
      <w:bCs/>
      <w:iCs/>
      <w:color w:val="7F7F7F" w:themeColor="text1" w:themeTint="80"/>
      <w:szCs w:val="24"/>
    </w:rPr>
  </w:style>
  <w:style w:type="character" w:customStyle="1" w:styleId="Heading5Char">
    <w:name w:val="Heading 5 Char"/>
    <w:basedOn w:val="DefaultParagraphFont"/>
    <w:link w:val="Heading5"/>
    <w:uiPriority w:val="9"/>
    <w:rsid w:val="006F1428"/>
    <w:rPr>
      <w:b/>
      <w:i/>
      <w:color w:val="76C474"/>
      <w:sz w:val="21"/>
      <w:szCs w:val="20"/>
    </w:rPr>
  </w:style>
  <w:style w:type="character" w:customStyle="1" w:styleId="Heading6Char">
    <w:name w:val="Heading 6 Char"/>
    <w:basedOn w:val="DefaultParagraphFont"/>
    <w:link w:val="Heading6"/>
    <w:uiPriority w:val="9"/>
    <w:rsid w:val="00EA26A7"/>
    <w:rPr>
      <w:b/>
      <w:color w:val="44697D"/>
      <w:sz w:val="32"/>
    </w:rPr>
  </w:style>
  <w:style w:type="character" w:customStyle="1" w:styleId="Heading7Char">
    <w:name w:val="Heading 7 Char"/>
    <w:basedOn w:val="DefaultParagraphFont"/>
    <w:link w:val="Heading7"/>
    <w:uiPriority w:val="9"/>
    <w:semiHidden/>
    <w:rsid w:val="00C2671F"/>
    <w:rPr>
      <w:rFonts w:asciiTheme="majorHAnsi" w:eastAsiaTheme="majorEastAsia" w:hAnsiTheme="majorHAnsi" w:cstheme="majorBidi"/>
      <w:i/>
      <w:iCs/>
      <w:color w:val="404040" w:themeColor="text1" w:themeTint="BF"/>
    </w:rPr>
  </w:style>
  <w:style w:type="paragraph" w:styleId="ListBullet">
    <w:name w:val="List Bullet"/>
    <w:basedOn w:val="Normal"/>
    <w:uiPriority w:val="99"/>
    <w:unhideWhenUsed/>
    <w:qFormat/>
    <w:rsid w:val="004C6ABA"/>
    <w:pPr>
      <w:numPr>
        <w:numId w:val="16"/>
      </w:numPr>
      <w:spacing w:before="0" w:after="60"/>
      <w:jc w:val="left"/>
    </w:pPr>
  </w:style>
  <w:style w:type="paragraph" w:styleId="ListBullet2">
    <w:name w:val="List Bullet 2"/>
    <w:basedOn w:val="Normal"/>
    <w:uiPriority w:val="99"/>
    <w:unhideWhenUsed/>
    <w:qFormat/>
    <w:rsid w:val="00654A8B"/>
    <w:pPr>
      <w:numPr>
        <w:numId w:val="14"/>
      </w:numPr>
      <w:ind w:left="1560" w:hanging="426"/>
      <w:contextualSpacing/>
      <w:jc w:val="left"/>
    </w:pPr>
  </w:style>
  <w:style w:type="paragraph" w:styleId="ListBullet3">
    <w:name w:val="List Bullet 3"/>
    <w:basedOn w:val="Normal"/>
    <w:uiPriority w:val="99"/>
    <w:unhideWhenUsed/>
    <w:rsid w:val="0015476E"/>
    <w:pPr>
      <w:numPr>
        <w:ilvl w:val="2"/>
        <w:numId w:val="9"/>
      </w:numPr>
      <w:contextualSpacing/>
    </w:pPr>
  </w:style>
  <w:style w:type="paragraph" w:customStyle="1" w:styleId="NumberedParagraph">
    <w:name w:val="Numbered Paragraph"/>
    <w:basedOn w:val="Normal"/>
    <w:link w:val="NumberedParagraphChar"/>
    <w:uiPriority w:val="99"/>
    <w:qFormat/>
    <w:rsid w:val="007E36CB"/>
    <w:pPr>
      <w:numPr>
        <w:numId w:val="10"/>
      </w:numPr>
    </w:pPr>
  </w:style>
  <w:style w:type="paragraph" w:styleId="BalloonText">
    <w:name w:val="Balloon Text"/>
    <w:basedOn w:val="Normal"/>
    <w:link w:val="BalloonTextChar"/>
    <w:uiPriority w:val="99"/>
    <w:semiHidden/>
    <w:unhideWhenUsed/>
    <w:rsid w:val="007B1CBD"/>
    <w:pPr>
      <w:spacing w:before="0" w:after="0"/>
    </w:pPr>
    <w:rPr>
      <w:rFonts w:cs="Tahoma"/>
      <w:sz w:val="16"/>
      <w:szCs w:val="16"/>
    </w:rPr>
  </w:style>
  <w:style w:type="character" w:customStyle="1" w:styleId="NumberedParagraphChar">
    <w:name w:val="Numbered Paragraph Char"/>
    <w:basedOn w:val="DefaultParagraphFont"/>
    <w:link w:val="NumberedParagraph"/>
    <w:uiPriority w:val="99"/>
    <w:rsid w:val="007E36CB"/>
  </w:style>
  <w:style w:type="character" w:customStyle="1" w:styleId="BalloonTextChar">
    <w:name w:val="Balloon Text Char"/>
    <w:basedOn w:val="DefaultParagraphFont"/>
    <w:link w:val="BalloonText"/>
    <w:uiPriority w:val="99"/>
    <w:semiHidden/>
    <w:rsid w:val="007B1CBD"/>
    <w:rPr>
      <w:rFonts w:ascii="Tahoma" w:hAnsi="Tahoma" w:cs="Tahoma"/>
      <w:sz w:val="16"/>
      <w:szCs w:val="16"/>
    </w:rPr>
  </w:style>
  <w:style w:type="paragraph" w:styleId="Caption">
    <w:name w:val="caption"/>
    <w:basedOn w:val="Normal"/>
    <w:next w:val="Normal"/>
    <w:link w:val="CaptionChar"/>
    <w:uiPriority w:val="99"/>
    <w:unhideWhenUsed/>
    <w:qFormat/>
    <w:rsid w:val="007E36CB"/>
    <w:pPr>
      <w:keepNext/>
      <w:spacing w:before="240"/>
      <w:jc w:val="center"/>
    </w:pPr>
    <w:rPr>
      <w:b/>
      <w:bCs/>
      <w:szCs w:val="18"/>
    </w:rPr>
  </w:style>
  <w:style w:type="paragraph" w:customStyle="1" w:styleId="Annex">
    <w:name w:val="Annex"/>
    <w:basedOn w:val="Normal"/>
    <w:next w:val="NumberedParagraph"/>
    <w:link w:val="AnnexChar"/>
    <w:uiPriority w:val="99"/>
    <w:qFormat/>
    <w:rsid w:val="00654A8B"/>
    <w:pPr>
      <w:numPr>
        <w:ilvl w:val="3"/>
        <w:numId w:val="3"/>
      </w:numPr>
      <w:spacing w:after="360"/>
      <w:jc w:val="left"/>
      <w:outlineLvl w:val="0"/>
    </w:pPr>
    <w:rPr>
      <w:b/>
      <w:color w:val="404040" w:themeColor="text1" w:themeTint="BF"/>
      <w:sz w:val="32"/>
      <w:szCs w:val="32"/>
    </w:rPr>
  </w:style>
  <w:style w:type="paragraph" w:customStyle="1" w:styleId="Tabletitle">
    <w:name w:val="Table title"/>
    <w:basedOn w:val="Normal"/>
    <w:next w:val="Normal"/>
    <w:uiPriority w:val="99"/>
    <w:qFormat/>
    <w:rsid w:val="009655E0"/>
    <w:pPr>
      <w:autoSpaceDE w:val="0"/>
      <w:autoSpaceDN w:val="0"/>
      <w:adjustRightInd w:val="0"/>
      <w:spacing w:before="0" w:after="0" w:line="241" w:lineRule="atLeast"/>
      <w:jc w:val="center"/>
    </w:pPr>
    <w:rPr>
      <w:rFonts w:eastAsia="Calibri" w:cs="Tahoma"/>
      <w:b/>
      <w:color w:val="FFFFFF" w:themeColor="background1"/>
      <w:lang w:val="pl-PL" w:eastAsia="en-US"/>
    </w:rPr>
  </w:style>
  <w:style w:type="paragraph" w:styleId="TOC1">
    <w:name w:val="toc 1"/>
    <w:basedOn w:val="Normal"/>
    <w:uiPriority w:val="39"/>
    <w:qFormat/>
    <w:rsid w:val="009655E0"/>
    <w:pPr>
      <w:keepNext/>
      <w:tabs>
        <w:tab w:val="right" w:leader="dot" w:pos="9639"/>
      </w:tabs>
      <w:ind w:left="1134" w:hanging="1134"/>
      <w:jc w:val="left"/>
    </w:pPr>
    <w:rPr>
      <w:noProof/>
    </w:rPr>
  </w:style>
  <w:style w:type="paragraph" w:styleId="TOC2">
    <w:name w:val="toc 2"/>
    <w:basedOn w:val="Normal"/>
    <w:uiPriority w:val="39"/>
    <w:qFormat/>
    <w:rsid w:val="009655E0"/>
    <w:pPr>
      <w:tabs>
        <w:tab w:val="left" w:pos="1440"/>
        <w:tab w:val="right" w:leader="dot" w:pos="9639"/>
      </w:tabs>
      <w:ind w:left="1134" w:hanging="1134"/>
      <w:jc w:val="left"/>
    </w:pPr>
    <w:rPr>
      <w:rFonts w:eastAsiaTheme="majorEastAsia" w:cs="Times New Roman"/>
      <w:noProof/>
      <w:kern w:val="18"/>
      <w:lang w:eastAsia="en-US"/>
    </w:rPr>
  </w:style>
  <w:style w:type="character" w:styleId="Hyperlink">
    <w:name w:val="Hyperlink"/>
    <w:basedOn w:val="DefaultParagraphFont"/>
    <w:uiPriority w:val="99"/>
    <w:rsid w:val="00934A18"/>
    <w:rPr>
      <w:color w:val="76C474"/>
      <w:u w:val="single"/>
    </w:rPr>
  </w:style>
  <w:style w:type="paragraph" w:styleId="TOC3">
    <w:name w:val="toc 3"/>
    <w:basedOn w:val="Normal"/>
    <w:next w:val="Normal"/>
    <w:uiPriority w:val="39"/>
    <w:qFormat/>
    <w:rsid w:val="009655E0"/>
    <w:pPr>
      <w:tabs>
        <w:tab w:val="right" w:leader="dot" w:pos="9639"/>
      </w:tabs>
      <w:ind w:left="1134" w:hanging="850"/>
    </w:pPr>
    <w:rPr>
      <w:noProof/>
      <w:szCs w:val="24"/>
    </w:rPr>
  </w:style>
  <w:style w:type="paragraph" w:styleId="Subtitle">
    <w:name w:val="Subtitle"/>
    <w:basedOn w:val="Normal"/>
    <w:link w:val="SubtitleChar"/>
    <w:uiPriority w:val="99"/>
    <w:rsid w:val="006732AB"/>
    <w:pPr>
      <w:numPr>
        <w:numId w:val="1"/>
      </w:numPr>
      <w:tabs>
        <w:tab w:val="clear" w:pos="720"/>
      </w:tabs>
      <w:spacing w:before="0" w:after="60"/>
      <w:jc w:val="center"/>
      <w:outlineLvl w:val="1"/>
    </w:pPr>
    <w:rPr>
      <w:rFonts w:ascii="Arial" w:eastAsia="Times New Roman" w:hAnsi="Arial" w:cs="Arial"/>
      <w:sz w:val="24"/>
      <w:szCs w:val="24"/>
      <w:lang w:val="en-AU" w:eastAsia="en-AU"/>
    </w:rPr>
  </w:style>
  <w:style w:type="character" w:customStyle="1" w:styleId="SubtitleChar">
    <w:name w:val="Subtitle Char"/>
    <w:basedOn w:val="DefaultParagraphFont"/>
    <w:link w:val="Subtitle"/>
    <w:uiPriority w:val="99"/>
    <w:rsid w:val="006732AB"/>
    <w:rPr>
      <w:rFonts w:ascii="Arial" w:eastAsia="Times New Roman" w:hAnsi="Arial" w:cs="Arial"/>
      <w:sz w:val="24"/>
      <w:szCs w:val="24"/>
      <w:lang w:val="en-AU" w:eastAsia="en-AU"/>
    </w:rPr>
  </w:style>
  <w:style w:type="paragraph" w:styleId="TOCHeading">
    <w:name w:val="TOC Heading"/>
    <w:basedOn w:val="Heading1"/>
    <w:next w:val="Normal"/>
    <w:uiPriority w:val="39"/>
    <w:rsid w:val="006732AB"/>
    <w:pPr>
      <w:keepNext/>
      <w:keepLines/>
      <w:pageBreakBefore w:val="0"/>
      <w:numPr>
        <w:numId w:val="0"/>
      </w:numPr>
      <w:spacing w:before="480" w:after="0" w:line="276" w:lineRule="auto"/>
      <w:outlineLvl w:val="9"/>
    </w:pPr>
    <w:rPr>
      <w:rFonts w:ascii="Cambria" w:hAnsi="Cambria"/>
      <w:bCs/>
      <w:color w:val="365F91"/>
      <w:sz w:val="28"/>
      <w:szCs w:val="28"/>
      <w:lang w:val="en-US" w:eastAsia="en-US"/>
      <w14:textFill>
        <w14:solidFill>
          <w14:srgbClr w14:val="365F91">
            <w14:lumMod w14:val="75000"/>
            <w14:lumOff w14:val="25000"/>
          </w14:srgbClr>
        </w14:solidFill>
      </w14:textFill>
    </w:rPr>
  </w:style>
  <w:style w:type="paragraph" w:styleId="TableofFigures">
    <w:name w:val="table of figures"/>
    <w:basedOn w:val="Normal"/>
    <w:next w:val="Normal"/>
    <w:uiPriority w:val="99"/>
    <w:rsid w:val="006732AB"/>
    <w:rPr>
      <w:rFonts w:eastAsia="Times New Roman" w:cs="Times New Roman"/>
      <w:szCs w:val="24"/>
    </w:rPr>
  </w:style>
  <w:style w:type="paragraph" w:styleId="EndnoteText">
    <w:name w:val="endnote text"/>
    <w:basedOn w:val="Normal"/>
    <w:link w:val="EndnoteTextChar"/>
    <w:semiHidden/>
    <w:rsid w:val="00A7501E"/>
    <w:pPr>
      <w:widowControl w:val="0"/>
      <w:autoSpaceDE w:val="0"/>
      <w:autoSpaceDN w:val="0"/>
      <w:adjustRightInd w:val="0"/>
    </w:pPr>
    <w:rPr>
      <w:rFonts w:ascii="Courier New" w:eastAsia="Times New Roman" w:hAnsi="Courier New" w:cs="Times New Roman"/>
      <w:szCs w:val="24"/>
      <w:lang w:val="en-US" w:eastAsia="en-US"/>
    </w:rPr>
  </w:style>
  <w:style w:type="character" w:customStyle="1" w:styleId="EndnoteTextChar">
    <w:name w:val="Endnote Text Char"/>
    <w:basedOn w:val="DefaultParagraphFont"/>
    <w:link w:val="EndnoteText"/>
    <w:semiHidden/>
    <w:rsid w:val="00A7501E"/>
    <w:rPr>
      <w:rFonts w:ascii="Courier New" w:eastAsia="Times New Roman" w:hAnsi="Courier New" w:cs="Times New Roman"/>
      <w:sz w:val="20"/>
      <w:szCs w:val="24"/>
      <w:lang w:val="en-US" w:eastAsia="en-US"/>
    </w:rPr>
  </w:style>
  <w:style w:type="character" w:customStyle="1" w:styleId="NormalIndentChar">
    <w:name w:val="Normal Indent Char"/>
    <w:link w:val="NormalIndent"/>
    <w:locked/>
    <w:rsid w:val="002121AC"/>
    <w:rPr>
      <w:rFonts w:ascii="Tahoma" w:hAnsi="Tahoma"/>
      <w:sz w:val="20"/>
    </w:rPr>
  </w:style>
  <w:style w:type="paragraph" w:customStyle="1" w:styleId="Table">
    <w:name w:val="Table"/>
    <w:basedOn w:val="Normal"/>
    <w:qFormat/>
    <w:rsid w:val="009655E0"/>
    <w:pPr>
      <w:tabs>
        <w:tab w:val="left" w:pos="567"/>
      </w:tabs>
      <w:spacing w:before="0" w:after="60"/>
    </w:pPr>
    <w:rPr>
      <w:rFonts w:eastAsia="Times New Roman" w:cs="Times New Roman"/>
      <w:lang w:eastAsia="en-US"/>
    </w:rPr>
  </w:style>
  <w:style w:type="paragraph" w:customStyle="1" w:styleId="Indentnumbered">
    <w:name w:val="Indent numbered"/>
    <w:basedOn w:val="NormalIndent"/>
    <w:link w:val="IndentnumberedChar"/>
    <w:rsid w:val="0005159B"/>
    <w:pPr>
      <w:tabs>
        <w:tab w:val="num" w:pos="1134"/>
        <w:tab w:val="left" w:pos="1276"/>
      </w:tabs>
      <w:spacing w:before="100" w:after="100"/>
      <w:ind w:left="1134" w:hanging="567"/>
      <w:jc w:val="left"/>
    </w:pPr>
    <w:rPr>
      <w:rFonts w:eastAsia="Times New Roman" w:cs="Times New Roman"/>
      <w:szCs w:val="24"/>
      <w:lang w:val="en-US"/>
    </w:rPr>
  </w:style>
  <w:style w:type="character" w:customStyle="1" w:styleId="IndentnumberedChar">
    <w:name w:val="Indent numbered Char"/>
    <w:link w:val="Indentnumbered"/>
    <w:locked/>
    <w:rsid w:val="0005159B"/>
    <w:rPr>
      <w:rFonts w:ascii="Tahoma" w:eastAsia="Times New Roman" w:hAnsi="Tahoma" w:cs="Times New Roman"/>
      <w:sz w:val="20"/>
      <w:szCs w:val="24"/>
      <w:lang w:val="en-US"/>
    </w:rPr>
  </w:style>
  <w:style w:type="character" w:customStyle="1" w:styleId="CaptionChar">
    <w:name w:val="Caption Char"/>
    <w:link w:val="Caption"/>
    <w:uiPriority w:val="99"/>
    <w:locked/>
    <w:rsid w:val="007E36CB"/>
    <w:rPr>
      <w:rFonts w:ascii="Tahoma" w:hAnsi="Tahoma"/>
      <w:b/>
      <w:bCs/>
      <w:sz w:val="20"/>
      <w:szCs w:val="18"/>
    </w:rPr>
  </w:style>
  <w:style w:type="paragraph" w:customStyle="1" w:styleId="LeaderStyle">
    <w:name w:val="Leader Style"/>
    <w:basedOn w:val="Normal"/>
    <w:uiPriority w:val="99"/>
    <w:qFormat/>
    <w:rsid w:val="00466B4F"/>
    <w:pPr>
      <w:spacing w:before="480" w:after="160"/>
      <w:jc w:val="center"/>
    </w:pPr>
    <w:rPr>
      <w:rFonts w:eastAsia="Times New Roman" w:cs="Times New Roman"/>
      <w:b/>
      <w:i/>
      <w:color w:val="404040" w:themeColor="text1" w:themeTint="BF"/>
      <w:sz w:val="32"/>
      <w:szCs w:val="20"/>
      <w:lang w:val="en-US" w:eastAsia="en-US"/>
    </w:rPr>
  </w:style>
  <w:style w:type="paragraph" w:styleId="NormalIndent">
    <w:name w:val="Normal Indent"/>
    <w:basedOn w:val="Normal"/>
    <w:link w:val="NormalIndentChar"/>
    <w:unhideWhenUsed/>
    <w:rsid w:val="0005159B"/>
    <w:pPr>
      <w:ind w:left="720"/>
    </w:pPr>
  </w:style>
  <w:style w:type="paragraph" w:customStyle="1" w:styleId="NoParagraphStyle">
    <w:name w:val="[No Paragraph Style]"/>
    <w:rsid w:val="00B250F9"/>
    <w:pPr>
      <w:autoSpaceDE w:val="0"/>
      <w:autoSpaceDN w:val="0"/>
      <w:adjustRightInd w:val="0"/>
      <w:spacing w:after="0" w:line="288" w:lineRule="auto"/>
      <w:textAlignment w:val="center"/>
    </w:pPr>
    <w:rPr>
      <w:rFonts w:ascii="Times Regular" w:eastAsia="Times New Roman" w:hAnsi="Times Regular" w:cs="Times Regular"/>
      <w:color w:val="000000"/>
      <w:sz w:val="24"/>
      <w:szCs w:val="24"/>
    </w:rPr>
  </w:style>
  <w:style w:type="numbering" w:customStyle="1" w:styleId="ListBulletsWorldBankADB">
    <w:name w:val="ListBulletsWorldBank/ADB"/>
    <w:rsid w:val="0015476E"/>
    <w:pPr>
      <w:numPr>
        <w:numId w:val="2"/>
      </w:numPr>
    </w:pPr>
  </w:style>
  <w:style w:type="paragraph" w:styleId="ListParagraph">
    <w:name w:val="List Paragraph"/>
    <w:aliases w:val="Box text"/>
    <w:basedOn w:val="Normal"/>
    <w:uiPriority w:val="34"/>
    <w:rsid w:val="00945F9F"/>
    <w:pPr>
      <w:ind w:left="720"/>
      <w:contextualSpacing/>
    </w:pPr>
    <w:rPr>
      <w:rFonts w:eastAsia="Times New Roman" w:cs="Times New Roman"/>
      <w:szCs w:val="24"/>
    </w:rPr>
  </w:style>
  <w:style w:type="numbering" w:customStyle="1" w:styleId="IndentedNumberWorldBank">
    <w:name w:val="IndentedNumberWorldBank"/>
    <w:uiPriority w:val="99"/>
    <w:rsid w:val="00335E7C"/>
    <w:pPr>
      <w:numPr>
        <w:numId w:val="4"/>
      </w:numPr>
    </w:pPr>
  </w:style>
  <w:style w:type="paragraph" w:customStyle="1" w:styleId="Recommendation">
    <w:name w:val="Recommendation"/>
    <w:basedOn w:val="Normal"/>
    <w:next w:val="NumberedParagraph"/>
    <w:link w:val="RecommendationChar"/>
    <w:uiPriority w:val="10"/>
    <w:rsid w:val="007E36CB"/>
    <w:pPr>
      <w:numPr>
        <w:numId w:val="11"/>
      </w:numPr>
      <w:jc w:val="left"/>
    </w:pPr>
    <w:rPr>
      <w:b/>
      <w:i/>
    </w:rPr>
  </w:style>
  <w:style w:type="paragraph" w:styleId="ListNumber">
    <w:name w:val="List Number"/>
    <w:aliases w:val="Indented List"/>
    <w:basedOn w:val="Normal"/>
    <w:link w:val="ListNumberChar"/>
    <w:uiPriority w:val="99"/>
    <w:unhideWhenUsed/>
    <w:qFormat/>
    <w:rsid w:val="004C6ABA"/>
    <w:pPr>
      <w:numPr>
        <w:numId w:val="8"/>
      </w:numPr>
      <w:spacing w:before="0" w:after="60"/>
      <w:jc w:val="left"/>
    </w:pPr>
  </w:style>
  <w:style w:type="paragraph" w:customStyle="1" w:styleId="USP">
    <w:name w:val="USP"/>
    <w:basedOn w:val="Normal"/>
    <w:next w:val="NumberedParagraph"/>
    <w:link w:val="USPChar"/>
    <w:uiPriority w:val="10"/>
    <w:rsid w:val="007E36CB"/>
    <w:pPr>
      <w:numPr>
        <w:numId w:val="12"/>
      </w:numPr>
      <w:jc w:val="left"/>
    </w:pPr>
    <w:rPr>
      <w:b/>
      <w:i/>
    </w:rPr>
  </w:style>
  <w:style w:type="character" w:customStyle="1" w:styleId="RecommendationChar">
    <w:name w:val="Recommendation Char"/>
    <w:basedOn w:val="DefaultParagraphFont"/>
    <w:link w:val="Recommendation"/>
    <w:uiPriority w:val="10"/>
    <w:rsid w:val="007E36CB"/>
    <w:rPr>
      <w:b/>
      <w:i/>
    </w:rPr>
  </w:style>
  <w:style w:type="numbering" w:customStyle="1" w:styleId="Recommnendation">
    <w:name w:val="Recommnendation"/>
    <w:uiPriority w:val="99"/>
    <w:rsid w:val="007838B6"/>
    <w:pPr>
      <w:numPr>
        <w:numId w:val="6"/>
      </w:numPr>
    </w:pPr>
  </w:style>
  <w:style w:type="numbering" w:customStyle="1" w:styleId="KeyIssues">
    <w:name w:val="KeyIssues"/>
    <w:uiPriority w:val="99"/>
    <w:rsid w:val="00DC2F3D"/>
    <w:pPr>
      <w:numPr>
        <w:numId w:val="5"/>
      </w:numPr>
    </w:pPr>
  </w:style>
  <w:style w:type="paragraph" w:customStyle="1" w:styleId="KeyIssue">
    <w:name w:val="Key Issue"/>
    <w:basedOn w:val="Normal"/>
    <w:next w:val="NumberedParagraph"/>
    <w:link w:val="KeyIssueChar"/>
    <w:uiPriority w:val="10"/>
    <w:rsid w:val="007E36CB"/>
    <w:pPr>
      <w:numPr>
        <w:numId w:val="13"/>
      </w:numPr>
      <w:jc w:val="left"/>
    </w:pPr>
    <w:rPr>
      <w:b/>
      <w:i/>
    </w:rPr>
  </w:style>
  <w:style w:type="character" w:customStyle="1" w:styleId="USPChar">
    <w:name w:val="USP Char"/>
    <w:basedOn w:val="DefaultParagraphFont"/>
    <w:link w:val="USP"/>
    <w:uiPriority w:val="10"/>
    <w:rsid w:val="007E36CB"/>
    <w:rPr>
      <w:b/>
      <w:i/>
    </w:rPr>
  </w:style>
  <w:style w:type="character" w:customStyle="1" w:styleId="KeyIssueChar">
    <w:name w:val="Key Issue Char"/>
    <w:basedOn w:val="DefaultParagraphFont"/>
    <w:link w:val="KeyIssue"/>
    <w:uiPriority w:val="10"/>
    <w:rsid w:val="007E36CB"/>
    <w:rPr>
      <w:b/>
      <w:i/>
    </w:rPr>
  </w:style>
  <w:style w:type="numbering" w:customStyle="1" w:styleId="USPList">
    <w:name w:val="USP List"/>
    <w:uiPriority w:val="99"/>
    <w:rsid w:val="007838B6"/>
    <w:pPr>
      <w:numPr>
        <w:numId w:val="7"/>
      </w:numPr>
    </w:pPr>
  </w:style>
  <w:style w:type="character" w:customStyle="1" w:styleId="AnnexChar">
    <w:name w:val="Annex Char"/>
    <w:basedOn w:val="DefaultParagraphFont"/>
    <w:link w:val="Annex"/>
    <w:uiPriority w:val="99"/>
    <w:rsid w:val="00654A8B"/>
    <w:rPr>
      <w:b/>
      <w:color w:val="404040" w:themeColor="text1" w:themeTint="BF"/>
      <w:sz w:val="32"/>
      <w:szCs w:val="32"/>
    </w:rPr>
  </w:style>
  <w:style w:type="character" w:customStyle="1" w:styleId="A1">
    <w:name w:val="A1"/>
    <w:uiPriority w:val="99"/>
    <w:rsid w:val="0023764F"/>
    <w:rPr>
      <w:color w:val="385F79"/>
      <w:sz w:val="14"/>
      <w:szCs w:val="14"/>
    </w:rPr>
  </w:style>
  <w:style w:type="character" w:customStyle="1" w:styleId="A2">
    <w:name w:val="A2"/>
    <w:uiPriority w:val="99"/>
    <w:rsid w:val="0023764F"/>
    <w:rPr>
      <w:color w:val="385F79"/>
      <w:sz w:val="12"/>
      <w:szCs w:val="12"/>
    </w:rPr>
  </w:style>
  <w:style w:type="paragraph" w:styleId="BodyText">
    <w:name w:val="Body Text"/>
    <w:aliases w:val="Body Text Char3 Char,Body Text Char2 Char1 Char,Body Text Char Char1 Char1 Char,Body Text Char2 Char Char Char Char,Body Text Char Char1 Char Char Char Char,Char Char Char Char Char Char Char,Body Text Char Char2 Char Char"/>
    <w:basedOn w:val="Normal"/>
    <w:link w:val="BodyTextChar1"/>
    <w:rsid w:val="001D796C"/>
    <w:pPr>
      <w:spacing w:before="60" w:after="60"/>
      <w:ind w:left="720"/>
      <w:jc w:val="left"/>
    </w:pPr>
    <w:rPr>
      <w:rFonts w:ascii="Arial" w:eastAsia="Times New Roman" w:hAnsi="Arial" w:cs="Times New Roman"/>
      <w:sz w:val="24"/>
      <w:szCs w:val="24"/>
    </w:rPr>
  </w:style>
  <w:style w:type="character" w:customStyle="1" w:styleId="BodyTextChar">
    <w:name w:val="Body Text Char"/>
    <w:basedOn w:val="DefaultParagraphFont"/>
    <w:uiPriority w:val="99"/>
    <w:semiHidden/>
    <w:rsid w:val="001D796C"/>
    <w:rPr>
      <w:rFonts w:ascii="Tahoma" w:hAnsi="Tahoma"/>
      <w:sz w:val="20"/>
    </w:rPr>
  </w:style>
  <w:style w:type="paragraph" w:styleId="NoSpacing">
    <w:name w:val="No Spacing"/>
    <w:link w:val="NoSpacingChar"/>
    <w:uiPriority w:val="1"/>
    <w:rsid w:val="002C4598"/>
    <w:pPr>
      <w:spacing w:after="0" w:line="240" w:lineRule="auto"/>
      <w:jc w:val="both"/>
    </w:pPr>
    <w:rPr>
      <w:rFonts w:ascii="Times New Roman" w:eastAsia="Times New Roman" w:hAnsi="Times New Roman" w:cs="Times New Roman"/>
      <w:sz w:val="24"/>
      <w:lang w:eastAsia="en-US"/>
    </w:rPr>
  </w:style>
  <w:style w:type="character" w:customStyle="1" w:styleId="BodyTextChar1">
    <w:name w:val="Body Text Char1"/>
    <w:aliases w:val="Body Text Char3 Char Char,Body Text Char2 Char1 Char Char,Body Text Char Char1 Char1 Char Char,Body Text Char2 Char Char Char Char Char,Body Text Char Char1 Char Char Char Char Char,Char Char Char Char Char Char Char Char"/>
    <w:link w:val="BodyText"/>
    <w:locked/>
    <w:rsid w:val="001D796C"/>
    <w:rPr>
      <w:rFonts w:ascii="Arial" w:eastAsia="Times New Roman" w:hAnsi="Arial" w:cs="Times New Roman"/>
      <w:sz w:val="24"/>
      <w:szCs w:val="24"/>
    </w:rPr>
  </w:style>
  <w:style w:type="paragraph" w:styleId="DocumentMap">
    <w:name w:val="Document Map"/>
    <w:basedOn w:val="Normal"/>
    <w:link w:val="DocumentMapChar"/>
    <w:uiPriority w:val="99"/>
    <w:semiHidden/>
    <w:unhideWhenUsed/>
    <w:rsid w:val="00176554"/>
    <w:pPr>
      <w:spacing w:before="0" w:after="0"/>
    </w:pPr>
    <w:rPr>
      <w:rFonts w:cs="Tahoma"/>
      <w:sz w:val="16"/>
      <w:szCs w:val="16"/>
    </w:rPr>
  </w:style>
  <w:style w:type="character" w:customStyle="1" w:styleId="DocumentMapChar">
    <w:name w:val="Document Map Char"/>
    <w:basedOn w:val="DefaultParagraphFont"/>
    <w:link w:val="DocumentMap"/>
    <w:uiPriority w:val="99"/>
    <w:semiHidden/>
    <w:rsid w:val="00176554"/>
    <w:rPr>
      <w:rFonts w:ascii="Tahoma" w:hAnsi="Tahoma" w:cs="Tahoma"/>
      <w:sz w:val="16"/>
      <w:szCs w:val="16"/>
    </w:rPr>
  </w:style>
  <w:style w:type="paragraph" w:customStyle="1" w:styleId="DefaultParagraphFontParaCharCharCharCharCharChar1Char">
    <w:name w:val="Default Paragraph Font Para Char Char Char Char Char Char1 Char"/>
    <w:basedOn w:val="Normal"/>
    <w:rsid w:val="008B6930"/>
    <w:pPr>
      <w:spacing w:before="0" w:after="160" w:line="240" w:lineRule="exact"/>
      <w:jc w:val="left"/>
    </w:pPr>
    <w:rPr>
      <w:rFonts w:ascii="Arial" w:eastAsia="Times New Roman" w:hAnsi="Arial" w:cs="Times New Roman"/>
      <w:szCs w:val="20"/>
      <w:lang w:val="en-US" w:eastAsia="en-US"/>
    </w:rPr>
  </w:style>
  <w:style w:type="paragraph" w:customStyle="1" w:styleId="BasicParagraph">
    <w:name w:val="[Basic Paragraph]"/>
    <w:basedOn w:val="NoParagraphStyle"/>
    <w:uiPriority w:val="99"/>
    <w:rsid w:val="00193D93"/>
    <w:rPr>
      <w:rFonts w:ascii="Times New Roman" w:eastAsiaTheme="minorEastAsia" w:hAnsi="Times New Roman" w:cs="Times New Roman"/>
    </w:rPr>
  </w:style>
  <w:style w:type="character" w:styleId="PageNumber">
    <w:name w:val="page number"/>
    <w:basedOn w:val="DefaultParagraphFont"/>
    <w:unhideWhenUsed/>
    <w:rsid w:val="00820E04"/>
  </w:style>
  <w:style w:type="character" w:customStyle="1" w:styleId="NoSpacingChar">
    <w:name w:val="No Spacing Char"/>
    <w:basedOn w:val="DefaultParagraphFont"/>
    <w:link w:val="NoSpacing"/>
    <w:uiPriority w:val="1"/>
    <w:rsid w:val="00507ADE"/>
    <w:rPr>
      <w:rFonts w:ascii="Times New Roman" w:eastAsia="Times New Roman" w:hAnsi="Times New Roman" w:cs="Times New Roman"/>
      <w:sz w:val="24"/>
      <w:lang w:eastAsia="en-US"/>
    </w:rPr>
  </w:style>
  <w:style w:type="paragraph" w:customStyle="1" w:styleId="Doubleindentedlist">
    <w:name w:val="Double indented list"/>
    <w:basedOn w:val="ListNumber"/>
    <w:link w:val="DoubleindentedlistChar"/>
    <w:uiPriority w:val="15"/>
    <w:qFormat/>
    <w:rsid w:val="004C6ABA"/>
    <w:pPr>
      <w:numPr>
        <w:numId w:val="17"/>
      </w:numPr>
      <w:ind w:left="1560" w:hanging="426"/>
    </w:pPr>
  </w:style>
  <w:style w:type="character" w:customStyle="1" w:styleId="ListNumberChar">
    <w:name w:val="List Number Char"/>
    <w:aliases w:val="Indented List Char"/>
    <w:basedOn w:val="DefaultParagraphFont"/>
    <w:link w:val="ListNumber"/>
    <w:uiPriority w:val="99"/>
    <w:rsid w:val="004C6ABA"/>
  </w:style>
  <w:style w:type="character" w:customStyle="1" w:styleId="DoubleindentedlistChar">
    <w:name w:val="Double indented list Char"/>
    <w:basedOn w:val="ListNumberChar"/>
    <w:link w:val="Doubleindentedlist"/>
    <w:uiPriority w:val="15"/>
    <w:rsid w:val="004C6ABA"/>
  </w:style>
  <w:style w:type="paragraph" w:styleId="FootnoteText">
    <w:name w:val="footnote text"/>
    <w:aliases w:val="FOOTNOTES,fn,single space,Footnote Text Char1,Footnote Text Char2 Char,Footnote Text Char1 Char Char,Footnote Text Char2 Char Char Char,Footnote Text Char1 Char Char Char Char,Footnote Text Char2 Char Char Char Char Char, Char,Char"/>
    <w:basedOn w:val="Normal"/>
    <w:link w:val="FootnoteTextChar"/>
    <w:uiPriority w:val="99"/>
    <w:unhideWhenUsed/>
    <w:rsid w:val="0068061C"/>
    <w:pPr>
      <w:spacing w:before="0" w:after="0"/>
    </w:pPr>
    <w:rPr>
      <w:sz w:val="20"/>
      <w:szCs w:val="20"/>
    </w:rPr>
  </w:style>
  <w:style w:type="character" w:customStyle="1" w:styleId="FootnoteTextChar">
    <w:name w:val="Footnote Text Char"/>
    <w:aliases w:val="FOOTNOTES Char,fn Char,single space Char,Footnote Text Char1 Char,Footnote Text Char2 Char Char,Footnote Text Char1 Char Char Char,Footnote Text Char2 Char Char Char Char,Footnote Text Char1 Char Char Char Char Char, Char Char"/>
    <w:basedOn w:val="DefaultParagraphFont"/>
    <w:link w:val="FootnoteText"/>
    <w:uiPriority w:val="99"/>
    <w:rsid w:val="0068061C"/>
    <w:rPr>
      <w:sz w:val="20"/>
      <w:szCs w:val="20"/>
    </w:rPr>
  </w:style>
  <w:style w:type="character" w:styleId="FootnoteReference">
    <w:name w:val="footnote reference"/>
    <w:aliases w:val="ftref,fr,Used by Word for Help footnote symbols,16 Point,Superscript 6 Point, BVI fnr,BVI fnr"/>
    <w:basedOn w:val="DefaultParagraphFont"/>
    <w:uiPriority w:val="99"/>
    <w:unhideWhenUsed/>
    <w:rsid w:val="0068061C"/>
    <w:rPr>
      <w:vertAlign w:val="superscript"/>
    </w:rPr>
  </w:style>
  <w:style w:type="paragraph" w:customStyle="1" w:styleId="Footnote">
    <w:name w:val="Footnote"/>
    <w:basedOn w:val="FootnoteText"/>
    <w:link w:val="FootnoteChar"/>
    <w:uiPriority w:val="15"/>
    <w:qFormat/>
    <w:rsid w:val="0068061C"/>
    <w:rPr>
      <w:rFonts w:ascii="Times New Roman" w:hAnsi="Times New Roman"/>
      <w:sz w:val="16"/>
    </w:rPr>
  </w:style>
  <w:style w:type="paragraph" w:customStyle="1" w:styleId="DocumentTitle">
    <w:name w:val="Document Title"/>
    <w:basedOn w:val="NoSpacing"/>
    <w:link w:val="DocumentTitleChar"/>
    <w:uiPriority w:val="15"/>
    <w:qFormat/>
    <w:rsid w:val="00195394"/>
    <w:pPr>
      <w:spacing w:before="240"/>
      <w:jc w:val="left"/>
    </w:pPr>
    <w:rPr>
      <w:rFonts w:asciiTheme="minorHAnsi" w:hAnsiTheme="minorHAnsi"/>
      <w:b/>
      <w:caps/>
      <w:color w:val="32746D"/>
      <w:sz w:val="72"/>
      <w:szCs w:val="36"/>
    </w:rPr>
  </w:style>
  <w:style w:type="character" w:customStyle="1" w:styleId="FootnoteChar">
    <w:name w:val="Footnote Char"/>
    <w:basedOn w:val="FootnoteTextChar"/>
    <w:link w:val="Footnote"/>
    <w:uiPriority w:val="15"/>
    <w:rsid w:val="0068061C"/>
    <w:rPr>
      <w:rFonts w:ascii="Times New Roman" w:hAnsi="Times New Roman"/>
      <w:sz w:val="16"/>
      <w:szCs w:val="20"/>
    </w:rPr>
  </w:style>
  <w:style w:type="character" w:customStyle="1" w:styleId="DocumentTitleChar">
    <w:name w:val="Document Title Char"/>
    <w:basedOn w:val="NoSpacingChar"/>
    <w:link w:val="DocumentTitle"/>
    <w:uiPriority w:val="15"/>
    <w:rsid w:val="00195394"/>
    <w:rPr>
      <w:rFonts w:ascii="Times New Roman" w:eastAsia="Times New Roman" w:hAnsi="Times New Roman" w:cs="Times New Roman"/>
      <w:b/>
      <w:caps/>
      <w:color w:val="32746D"/>
      <w:sz w:val="72"/>
      <w:szCs w:val="36"/>
      <w:lang w:eastAsia="en-US"/>
    </w:rPr>
  </w:style>
  <w:style w:type="character" w:styleId="EndnoteReference">
    <w:name w:val="endnote reference"/>
    <w:basedOn w:val="DefaultParagraphFont"/>
    <w:uiPriority w:val="99"/>
    <w:semiHidden/>
    <w:unhideWhenUsed/>
    <w:rsid w:val="00093FDF"/>
    <w:rPr>
      <w:vertAlign w:val="superscript"/>
    </w:rPr>
  </w:style>
  <w:style w:type="paragraph" w:styleId="IntenseQuote">
    <w:name w:val="Intense Quote"/>
    <w:basedOn w:val="Normal"/>
    <w:next w:val="Normal"/>
    <w:link w:val="IntenseQuoteChar"/>
    <w:uiPriority w:val="30"/>
    <w:qFormat/>
    <w:rsid w:val="00BD2CFB"/>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Candara" w:eastAsiaTheme="minorHAnsi" w:hAnsi="Candara"/>
      <w:i/>
      <w:iCs/>
      <w:color w:val="365F9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D2CFB"/>
    <w:rPr>
      <w:rFonts w:ascii="Candara" w:eastAsiaTheme="minorHAnsi" w:hAnsi="Candara"/>
      <w:i/>
      <w:iCs/>
      <w:color w:val="365F91" w:themeColor="accent1" w:themeShade="BF"/>
      <w:kern w:val="2"/>
      <w:lang w:eastAsia="en-US"/>
      <w14:ligatures w14:val="standardContextual"/>
    </w:rPr>
  </w:style>
  <w:style w:type="character" w:styleId="CommentReference">
    <w:name w:val="annotation reference"/>
    <w:basedOn w:val="DefaultParagraphFont"/>
    <w:uiPriority w:val="99"/>
    <w:semiHidden/>
    <w:unhideWhenUsed/>
    <w:rsid w:val="00044C32"/>
    <w:rPr>
      <w:sz w:val="16"/>
      <w:szCs w:val="16"/>
    </w:rPr>
  </w:style>
  <w:style w:type="paragraph" w:styleId="CommentText">
    <w:name w:val="annotation text"/>
    <w:basedOn w:val="Normal"/>
    <w:link w:val="CommentTextChar"/>
    <w:uiPriority w:val="99"/>
    <w:unhideWhenUsed/>
    <w:rsid w:val="00044C32"/>
    <w:rPr>
      <w:sz w:val="20"/>
      <w:szCs w:val="20"/>
    </w:rPr>
  </w:style>
  <w:style w:type="character" w:customStyle="1" w:styleId="CommentTextChar">
    <w:name w:val="Comment Text Char"/>
    <w:basedOn w:val="DefaultParagraphFont"/>
    <w:link w:val="CommentText"/>
    <w:uiPriority w:val="99"/>
    <w:rsid w:val="00044C32"/>
    <w:rPr>
      <w:sz w:val="20"/>
      <w:szCs w:val="20"/>
    </w:rPr>
  </w:style>
  <w:style w:type="paragraph" w:styleId="CommentSubject">
    <w:name w:val="annotation subject"/>
    <w:basedOn w:val="CommentText"/>
    <w:next w:val="CommentText"/>
    <w:link w:val="CommentSubjectChar"/>
    <w:uiPriority w:val="99"/>
    <w:semiHidden/>
    <w:unhideWhenUsed/>
    <w:rsid w:val="00044C32"/>
    <w:rPr>
      <w:b/>
      <w:bCs/>
    </w:rPr>
  </w:style>
  <w:style w:type="character" w:customStyle="1" w:styleId="CommentSubjectChar">
    <w:name w:val="Comment Subject Char"/>
    <w:basedOn w:val="CommentTextChar"/>
    <w:link w:val="CommentSubject"/>
    <w:uiPriority w:val="99"/>
    <w:semiHidden/>
    <w:rsid w:val="00044C32"/>
    <w:rPr>
      <w:b/>
      <w:bCs/>
      <w:sz w:val="20"/>
      <w:szCs w:val="20"/>
    </w:rPr>
  </w:style>
  <w:style w:type="paragraph" w:customStyle="1" w:styleId="NumberedPara">
    <w:name w:val="Numbered Para"/>
    <w:basedOn w:val="Normal"/>
    <w:qFormat/>
    <w:rsid w:val="00F77652"/>
    <w:pPr>
      <w:numPr>
        <w:numId w:val="22"/>
      </w:numPr>
      <w:spacing w:after="60"/>
    </w:pPr>
    <w:rPr>
      <w:rFonts w:ascii="Tahoma" w:eastAsia="Times New Roman" w:hAnsi="Tahoma" w:cs="Times New Roman"/>
      <w:sz w:val="20"/>
      <w:szCs w:val="24"/>
    </w:rPr>
  </w:style>
  <w:style w:type="paragraph" w:customStyle="1" w:styleId="Bullet">
    <w:name w:val="Bullet"/>
    <w:basedOn w:val="Normal"/>
    <w:qFormat/>
    <w:rsid w:val="00F77652"/>
    <w:pPr>
      <w:numPr>
        <w:numId w:val="23"/>
      </w:numPr>
      <w:spacing w:after="60"/>
      <w:jc w:val="left"/>
    </w:pPr>
    <w:rPr>
      <w:rFonts w:ascii="Tahoma" w:eastAsia="Times New Roman" w:hAnsi="Tahoma" w:cs="Times New Roman"/>
      <w:sz w:val="20"/>
      <w:szCs w:val="24"/>
    </w:rPr>
  </w:style>
  <w:style w:type="character" w:styleId="Strong">
    <w:name w:val="Strong"/>
    <w:basedOn w:val="DefaultParagraphFont"/>
    <w:uiPriority w:val="22"/>
    <w:qFormat/>
    <w:rsid w:val="00C666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hyperlink" Target="https://www.eia.gov/international/data/world/petroleum-and-other-liquids/monthly-petroleum-and-other-liquids-production?pd=5&amp;p=0000000000000000000000000000000000vg&amp;u=0&amp;f=M&amp;v=mapbubble&amp;a=-&amp;i=none&amp;vo=value&amp;t=C&amp;g=none&amp;l=249--157&amp;s=94694400000&amp;e=1740787200000" TargetMode="External"/><Relationship Id="rId42" Type="http://schemas.openxmlformats.org/officeDocument/2006/relationships/image" Target="media/image21.png"/><Relationship Id="rId47" Type="http://schemas.openxmlformats.org/officeDocument/2006/relationships/image" Target="media/image34.svg"/><Relationship Id="rId63" Type="http://schemas.openxmlformats.org/officeDocument/2006/relationships/image" Target="media/image35.png"/><Relationship Id="rId68" Type="http://schemas.openxmlformats.org/officeDocument/2006/relationships/image" Target="media/image39.emf"/><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6.svg"/><Relationship Id="rId11" Type="http://schemas.openxmlformats.org/officeDocument/2006/relationships/image" Target="media/image2.jpeg"/><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4.svg"/><Relationship Id="rId40" Type="http://schemas.openxmlformats.org/officeDocument/2006/relationships/image" Target="media/image20.png"/><Relationship Id="rId45" Type="http://schemas.openxmlformats.org/officeDocument/2006/relationships/image" Target="media/image32.svg"/><Relationship Id="rId53" Type="http://schemas.openxmlformats.org/officeDocument/2006/relationships/image" Target="media/image40.svg"/><Relationship Id="rId58" Type="http://schemas.openxmlformats.org/officeDocument/2006/relationships/image" Target="media/image31.emf"/><Relationship Id="rId66" Type="http://schemas.openxmlformats.org/officeDocument/2006/relationships/image" Target="media/image37.emf"/><Relationship Id="rId74"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4.png"/><Relationship Id="rId19" Type="http://schemas.openxmlformats.org/officeDocument/2006/relationships/image" Target="media/image9.png"/><Relationship Id="rId14" Type="http://schemas.openxmlformats.org/officeDocument/2006/relationships/image" Target="media/image4.jpg"/><Relationship Id="rId22" Type="http://schemas.openxmlformats.org/officeDocument/2006/relationships/hyperlink" Target="https://www.opec.org/monthly-oil-market-report.html" TargetMode="External"/><Relationship Id="rId27" Type="http://schemas.openxmlformats.org/officeDocument/2006/relationships/image" Target="media/image14.svg"/><Relationship Id="rId30" Type="http://schemas.openxmlformats.org/officeDocument/2006/relationships/image" Target="media/image15.png"/><Relationship Id="rId35" Type="http://schemas.openxmlformats.org/officeDocument/2006/relationships/image" Target="media/image22.svg"/><Relationship Id="rId43" Type="http://schemas.openxmlformats.org/officeDocument/2006/relationships/image" Target="media/image30.svg"/><Relationship Id="rId48" Type="http://schemas.openxmlformats.org/officeDocument/2006/relationships/image" Target="media/image24.png"/><Relationship Id="rId56" Type="http://schemas.openxmlformats.org/officeDocument/2006/relationships/image" Target="media/image29.emf"/><Relationship Id="rId64" Type="http://schemas.openxmlformats.org/officeDocument/2006/relationships/image" Target="media/image51.svg"/><Relationship Id="rId69" Type="http://schemas.openxmlformats.org/officeDocument/2006/relationships/image" Target="media/image40.emf"/><Relationship Id="rId8" Type="http://schemas.openxmlformats.org/officeDocument/2006/relationships/endnotes" Target="endnotes.xml"/><Relationship Id="rId51" Type="http://schemas.openxmlformats.org/officeDocument/2006/relationships/image" Target="media/image38.svg"/><Relationship Id="rId72" Type="http://schemas.openxmlformats.org/officeDocument/2006/relationships/image" Target="media/image43.emf"/><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20.svg"/><Relationship Id="rId38" Type="http://schemas.openxmlformats.org/officeDocument/2006/relationships/image" Target="media/image19.png"/><Relationship Id="rId46" Type="http://schemas.openxmlformats.org/officeDocument/2006/relationships/image" Target="media/image23.png"/><Relationship Id="rId59" Type="http://schemas.openxmlformats.org/officeDocument/2006/relationships/image" Target="media/image32.emf"/><Relationship Id="rId67" Type="http://schemas.openxmlformats.org/officeDocument/2006/relationships/image" Target="media/image38.emf"/><Relationship Id="rId20" Type="http://schemas.openxmlformats.org/officeDocument/2006/relationships/hyperlink" Target="https://www.nuprc.gov.ng/oil-production-status-report/" TargetMode="External"/><Relationship Id="rId41" Type="http://schemas.openxmlformats.org/officeDocument/2006/relationships/image" Target="media/image28.svg"/><Relationship Id="rId54" Type="http://schemas.openxmlformats.org/officeDocument/2006/relationships/image" Target="media/image27.emf"/><Relationship Id="rId62" Type="http://schemas.openxmlformats.org/officeDocument/2006/relationships/image" Target="media/image49.svg"/><Relationship Id="rId70" Type="http://schemas.openxmlformats.org/officeDocument/2006/relationships/image" Target="media/image41.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image" Target="media/image36.svg"/><Relationship Id="rId57" Type="http://schemas.openxmlformats.org/officeDocument/2006/relationships/image" Target="media/image30.emf"/><Relationship Id="rId10" Type="http://schemas.openxmlformats.org/officeDocument/2006/relationships/image" Target="media/image1.jpeg"/><Relationship Id="rId31" Type="http://schemas.openxmlformats.org/officeDocument/2006/relationships/image" Target="media/image18.svg"/><Relationship Id="rId44" Type="http://schemas.openxmlformats.org/officeDocument/2006/relationships/image" Target="media/image22.png"/><Relationship Id="rId52" Type="http://schemas.openxmlformats.org/officeDocument/2006/relationships/image" Target="media/image26.png"/><Relationship Id="rId60" Type="http://schemas.openxmlformats.org/officeDocument/2006/relationships/image" Target="media/image33.emf"/><Relationship Id="rId65" Type="http://schemas.openxmlformats.org/officeDocument/2006/relationships/image" Target="media/image36.emf"/><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1.xml"/><Relationship Id="rId18" Type="http://schemas.openxmlformats.org/officeDocument/2006/relationships/image" Target="media/image8.png"/><Relationship Id="rId39" Type="http://schemas.openxmlformats.org/officeDocument/2006/relationships/image" Target="media/image26.svg"/><Relationship Id="rId34" Type="http://schemas.openxmlformats.org/officeDocument/2006/relationships/image" Target="media/image17.png"/><Relationship Id="rId50" Type="http://schemas.openxmlformats.org/officeDocument/2006/relationships/image" Target="media/image25.png"/><Relationship Id="rId55" Type="http://schemas.openxmlformats.org/officeDocument/2006/relationships/image" Target="media/image28.emf"/><Relationship Id="rId7" Type="http://schemas.openxmlformats.org/officeDocument/2006/relationships/footnotes" Target="footnotes.xml"/><Relationship Id="rId71" Type="http://schemas.openxmlformats.org/officeDocument/2006/relationships/image" Target="media/image42.em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O:\_WYG%20International\Projects\0%20Current%20Projects\4427%20Micronesia%20IFMIS\Reports\WYG%20Report%20with%20editable%20cover%20and%20normal%20paragraph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Report Title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6A474A-85C2-442D-AA24-9FE38EDCD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WYG Report with editable cover and normal paragraphs.dotx</Template>
  <TotalTime>1</TotalTime>
  <Pages>56</Pages>
  <Words>15407</Words>
  <Characters>87826</Characters>
  <Application>Microsoft Office Word</Application>
  <DocSecurity>0</DocSecurity>
  <Lines>731</Lines>
  <Paragraphs>206</Paragraphs>
  <ScaleCrop>false</ScaleCrop>
  <HeadingPairs>
    <vt:vector size="2" baseType="variant">
      <vt:variant>
        <vt:lpstr>Title</vt:lpstr>
      </vt:variant>
      <vt:variant>
        <vt:i4>1</vt:i4>
      </vt:variant>
    </vt:vector>
  </HeadingPairs>
  <TitlesOfParts>
    <vt:vector size="1" baseType="lpstr">
      <vt:lpstr>Benue State Government</vt:lpstr>
    </vt:vector>
  </TitlesOfParts>
  <Company>WYG Group Ltd</Company>
  <LinksUpToDate>false</LinksUpToDate>
  <CharactersWithSpaces>103027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Benue State Government</dc:title>
  <dc:subject>Economic and Fiscal Update (EFU), Fiscal Strategy Paper (FSP) and Budget Policy Statement (BPS)</dc:subject>
  <dc:creator>August, 2026</dc:creator>
  <cp:keywords/>
  <dc:description/>
  <cp:lastModifiedBy>USER</cp:lastModifiedBy>
  <cp:revision>2</cp:revision>
  <cp:lastPrinted>2025-10-24T09:12:00Z</cp:lastPrinted>
  <dcterms:created xsi:type="dcterms:W3CDTF">2026-09-30T22:27:00Z</dcterms:created>
  <dcterms:modified xsi:type="dcterms:W3CDTF">2026-09-30T22:27:00Z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7702cbdf-cee5-4dcb-b0a0-0b51727e88d0</vt:lpwstr>
  </property>
</Properties>
</file>